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5B253">
      <w:pPr>
        <w:pStyle w:val="286"/>
        <w:bidi w:val="0"/>
        <w:rPr>
          <w:rFonts w:hint="eastAsia"/>
          <w:color w:val="auto"/>
          <w:lang w:eastAsia="zh-CN"/>
        </w:rPr>
      </w:pPr>
      <w:bookmarkStart w:id="0" w:name="标准封面"/>
      <w:bookmarkEnd w:id="0"/>
      <w:bookmarkStart w:id="1" w:name="_Toc6543"/>
      <w:bookmarkStart w:id="2" w:name="_Toc28363"/>
      <w:bookmarkStart w:id="3" w:name="_Toc18702"/>
      <w:bookmarkStart w:id="4" w:name="_Toc4474"/>
      <w:bookmarkStart w:id="5" w:name="_Toc19152"/>
      <w:r>
        <w:rPr>
          <w:color w:val="auto"/>
          <w:sz w:val="32"/>
        </w:rPr>
        <mc:AlternateContent>
          <mc:Choice Requires="wps">
            <w:drawing>
              <wp:anchor distT="0" distB="0" distL="114300" distR="114300" simplePos="0" relativeHeight="251660288" behindDoc="0" locked="0" layoutInCell="1" allowOverlap="1">
                <wp:simplePos x="0" y="0"/>
                <wp:positionH relativeFrom="page">
                  <wp:posOffset>3024505</wp:posOffset>
                </wp:positionH>
                <wp:positionV relativeFrom="page">
                  <wp:posOffset>467995</wp:posOffset>
                </wp:positionV>
                <wp:extent cx="3960495" cy="914400"/>
                <wp:effectExtent l="0" t="0" r="1905" b="0"/>
                <wp:wrapNone/>
                <wp:docPr id="27"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C8B51F1">
                            <w:pPr>
                              <w:pStyle w:val="496"/>
                              <w:bidi w:val="0"/>
                              <w:jc w:val="right"/>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8.1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SD6o9oAAAALAQAADwAAAAAAAAABACAAAAAiAAAAZHJzL2Rvd25yZXYueG1sUEsBAhQAFAAA&#10;AAgAh07iQIbVRCVfAgAAjAQAAA4AAAAAAAAAAQAgAAAAKQEAAGRycy9lMm9Eb2MueG1sUEsFBgAA&#10;AAAGAAYAWQEAAPoFAAAAAA==&#10;">
                <v:fill on="t" focussize="0,0"/>
                <v:stroke on="f" weight="0.5pt"/>
                <v:imagedata o:title=""/>
                <o:lock v:ext="edit" aspectratio="f"/>
                <v:textbox inset="0mm,0mm,2.54mm,0mm">
                  <w:txbxContent>
                    <w:p w14:paraId="2C8B51F1">
                      <w:pPr>
                        <w:pStyle w:val="496"/>
                        <w:bidi w:val="0"/>
                        <w:jc w:val="right"/>
                        <w:rPr>
                          <w:rFonts w:hint="eastAsia"/>
                          <w:lang w:eastAsia="zh-CN"/>
                        </w:rPr>
                      </w:pPr>
                    </w:p>
                  </w:txbxContent>
                </v:textbox>
              </v:shape>
            </w:pict>
          </mc:Fallback>
        </mc:AlternateContent>
      </w:r>
      <w:r>
        <w:rPr>
          <w:color w:val="auto"/>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3175" b="3810"/>
                <wp:wrapNone/>
                <wp:docPr id="26"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D568B8F">
                            <w:pPr>
                              <w:pStyle w:val="333"/>
                              <w:bidi w:val="0"/>
                              <w:rPr>
                                <w:rFonts w:hint="eastAsia"/>
                                <w:lang w:eastAsia="zh-CN"/>
                              </w:rPr>
                            </w:pPr>
                            <w:r>
                              <w:rPr>
                                <w:rFonts w:hint="eastAsia"/>
                                <w:lang w:eastAsia="zh-CN"/>
                              </w:rPr>
                              <w:t>ICS 29.020</w:t>
                            </w:r>
                          </w:p>
                          <w:p w14:paraId="174E8822">
                            <w:pPr>
                              <w:pStyle w:val="333"/>
                              <w:bidi w:val="0"/>
                              <w:rPr>
                                <w:rFonts w:hint="eastAsia"/>
                                <w:lang w:eastAsia="zh-CN"/>
                              </w:rPr>
                            </w:pPr>
                            <w:r>
                              <w:rPr>
                                <w:rFonts w:hint="eastAsia"/>
                                <w:lang w:eastAsia="zh-CN"/>
                              </w:rPr>
                              <w:t>CCS P16</w:t>
                            </w:r>
                          </w:p>
                          <w:p w14:paraId="0F35EE9F">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SuiCHZAAAACgEAAA8AAAAAAAAAAQAgAAAAIgAAAGRycy9kb3ducmV2LnhtbFBLAQIUABQAAAAI&#10;AIdO4kBQQvH9XgIAAIwEAAAOAAAAAAAAAAEAIAAAACgBAABkcnMvZTJvRG9jLnhtbFBLBQYAAAAA&#10;BgAGAFkBAAD4BQAAAAA=&#10;">
                <v:fill on="t" focussize="0,0"/>
                <v:stroke on="f" weight="0.5pt"/>
                <v:imagedata o:title=""/>
                <o:lock v:ext="edit" aspectratio="f"/>
                <v:textbox inset="0mm,0mm,2.54mm,0mm">
                  <w:txbxContent>
                    <w:p w14:paraId="6D568B8F">
                      <w:pPr>
                        <w:pStyle w:val="333"/>
                        <w:bidi w:val="0"/>
                        <w:rPr>
                          <w:rFonts w:hint="eastAsia"/>
                          <w:lang w:eastAsia="zh-CN"/>
                        </w:rPr>
                      </w:pPr>
                      <w:r>
                        <w:rPr>
                          <w:rFonts w:hint="eastAsia"/>
                          <w:lang w:eastAsia="zh-CN"/>
                        </w:rPr>
                        <w:t>ICS 29.020</w:t>
                      </w:r>
                    </w:p>
                    <w:p w14:paraId="174E8822">
                      <w:pPr>
                        <w:pStyle w:val="333"/>
                        <w:bidi w:val="0"/>
                        <w:rPr>
                          <w:rFonts w:hint="eastAsia"/>
                          <w:lang w:eastAsia="zh-CN"/>
                        </w:rPr>
                      </w:pPr>
                      <w:r>
                        <w:rPr>
                          <w:rFonts w:hint="eastAsia"/>
                          <w:lang w:eastAsia="zh-CN"/>
                        </w:rPr>
                        <w:t>CCS P16</w:t>
                      </w:r>
                    </w:p>
                    <w:p w14:paraId="0F35EE9F">
                      <w:pPr>
                        <w:pStyle w:val="333"/>
                        <w:bidi w:val="0"/>
                        <w:rPr>
                          <w:rFonts w:hint="eastAsia"/>
                          <w:lang w:eastAsia="zh-CN"/>
                        </w:rPr>
                      </w:pPr>
                    </w:p>
                  </w:txbxContent>
                </v:textbox>
              </v:shape>
            </w:pict>
          </mc:Fallback>
        </mc:AlternateContent>
      </w:r>
    </w:p>
    <w:p w14:paraId="3403EA9B">
      <w:pPr>
        <w:pStyle w:val="258"/>
        <w:rPr>
          <w:rFonts w:hint="eastAsia"/>
          <w:color w:val="auto"/>
          <w:lang w:eastAsia="zh-CN"/>
        </w:rPr>
      </w:pPr>
      <w:r>
        <w:rPr>
          <w:color w:val="auto"/>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635" b="12065"/>
                <wp:wrapNone/>
                <wp:docPr id="28"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19366C2">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2nf1NsAAAAMAQAADwAAAAAAAAABACAAAAAiAAAAZHJzL2Rvd25yZXYueG1sUEsBAhQAFAAA&#10;AAgAh07iQIVe0gReAgAAjAQAAA4AAAAAAAAAAQAgAAAAKgEAAGRycy9lMm9Eb2MueG1sUEsFBgAA&#10;AAAGAAYAWQEAAPoFAAAAAA==&#10;">
                <v:fill on="t" focussize="0,0"/>
                <v:stroke on="f" weight="0.5pt"/>
                <v:imagedata o:title=""/>
                <o:lock v:ext="edit" aspectratio="f"/>
                <v:textbox inset="0mm,0mm,2.54mm,0mm">
                  <w:txbxContent>
                    <w:p w14:paraId="419366C2">
                      <w:pPr>
                        <w:pStyle w:val="497"/>
                        <w:bidi w:val="0"/>
                        <w:rPr>
                          <w:rFonts w:hint="eastAsia"/>
                          <w:lang w:eastAsia="zh-CN"/>
                        </w:rPr>
                      </w:pPr>
                      <w:r>
                        <w:rPr>
                          <w:rFonts w:hint="eastAsia"/>
                          <w:lang w:eastAsia="zh-CN"/>
                        </w:rPr>
                        <w:t>团 体 标 准</w:t>
                      </w:r>
                    </w:p>
                  </w:txbxContent>
                </v:textbox>
              </v:shape>
            </w:pict>
          </mc:Fallback>
        </mc:AlternateContent>
      </w:r>
    </w:p>
    <w:p w14:paraId="7529390D">
      <w:pPr>
        <w:pStyle w:val="258"/>
        <w:rPr>
          <w:rFonts w:hint="eastAsia"/>
          <w:color w:val="auto"/>
          <w:lang w:eastAsia="zh-CN"/>
        </w:rPr>
      </w:pPr>
    </w:p>
    <w:p w14:paraId="3C5178FD">
      <w:pPr>
        <w:pStyle w:val="258"/>
        <w:rPr>
          <w:rFonts w:hint="eastAsia"/>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84" w:right="851" w:bottom="1134" w:left="1418" w:header="284" w:footer="1134" w:gutter="0"/>
          <w:lnNumType w:countBy="0" w:restart="continuous"/>
          <w:pgNumType w:fmt="upperRoman" w:start="1"/>
          <w:cols w:space="425" w:num="1"/>
          <w:rtlGutter w:val="0"/>
          <w:docGrid w:linePitch="312" w:charSpace="0"/>
        </w:sectPr>
      </w:pPr>
      <w:r>
        <w:rPr>
          <w:color w:val="auto"/>
          <w:sz w:val="21"/>
        </w:rPr>
        <mc:AlternateContent>
          <mc:Choice Requires="wps">
            <w:drawing>
              <wp:anchor distT="0" distB="0" distL="114300" distR="114300" simplePos="0" relativeHeight="251669504" behindDoc="0" locked="0" layoutInCell="1" allowOverlap="1">
                <wp:simplePos x="0" y="0"/>
                <wp:positionH relativeFrom="page">
                  <wp:posOffset>4632325</wp:posOffset>
                </wp:positionH>
                <wp:positionV relativeFrom="page">
                  <wp:posOffset>9649460</wp:posOffset>
                </wp:positionV>
                <wp:extent cx="810895" cy="184150"/>
                <wp:effectExtent l="0" t="0" r="1905" b="6350"/>
                <wp:wrapNone/>
                <wp:docPr id="36"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0C84FDF">
                            <w:pPr>
                              <w:pStyle w:val="502"/>
                              <w:bidi w:val="0"/>
                              <w:rPr>
                                <w:rFonts w:hint="eastAsia"/>
                                <w:lang w:eastAsia="zh-CN"/>
                              </w:rPr>
                            </w:pPr>
                            <w:r>
                              <w:rPr>
                                <w:rFonts w:hint="eastAsia"/>
                                <w:lang w:val="en-US" w:eastAsia="zh-CN"/>
                              </w:rPr>
                              <w:t xml:space="preserve">联 合 </w:t>
                            </w: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4.75pt;margin-top:759.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OVUjB&#10;3AAAAA0BAAAPAAAAAAAAAAEAIAAAACIAAABkcnMvZG93bnJldi54bWxQSwECFAAUAAAACACHTuJA&#10;LGp0/VYCAACHBAAADgAAAAAAAAABACAAAAArAQAAZHJzL2Uyb0RvYy54bWxQSwUGAAAAAAYABgBZ&#10;AQAA8wUAAAAA&#10;">
                <v:fill on="t" focussize="0,0"/>
                <v:stroke on="f" weight="0.5pt"/>
                <v:imagedata o:title=""/>
                <o:lock v:ext="edit" aspectratio="f"/>
                <v:textbox inset="0mm,0mm,0mm,0mm">
                  <w:txbxContent>
                    <w:p w14:paraId="40C84FDF">
                      <w:pPr>
                        <w:pStyle w:val="502"/>
                        <w:bidi w:val="0"/>
                        <w:rPr>
                          <w:rFonts w:hint="eastAsia"/>
                          <w:lang w:eastAsia="zh-CN"/>
                        </w:rPr>
                      </w:pPr>
                      <w:r>
                        <w:rPr>
                          <w:rFonts w:hint="eastAsia"/>
                          <w:lang w:val="en-US" w:eastAsia="zh-CN"/>
                        </w:rPr>
                        <w:t xml:space="preserve">联 合 </w:t>
                      </w:r>
                      <w:r>
                        <w:rPr>
                          <w:rFonts w:hint="eastAsia"/>
                          <w:lang w:eastAsia="zh-CN"/>
                        </w:rPr>
                        <w:t>发 布</w:t>
                      </w:r>
                    </w:p>
                  </w:txbxContent>
                </v:textbox>
              </v:shap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page">
                  <wp:posOffset>2298065</wp:posOffset>
                </wp:positionH>
                <wp:positionV relativeFrom="page">
                  <wp:posOffset>9509760</wp:posOffset>
                </wp:positionV>
                <wp:extent cx="2334260" cy="463550"/>
                <wp:effectExtent l="0" t="0" r="2540" b="6350"/>
                <wp:wrapNone/>
                <wp:docPr id="35" name="首页自画框图11"/>
                <wp:cNvGraphicFramePr/>
                <a:graphic xmlns:a="http://schemas.openxmlformats.org/drawingml/2006/main">
                  <a:graphicData uri="http://schemas.microsoft.com/office/word/2010/wordprocessingShape">
                    <wps:wsp>
                      <wps:cNvSpPr txBox="1"/>
                      <wps:spPr>
                        <a:xfrm>
                          <a:off x="0" y="0"/>
                          <a:ext cx="2160270" cy="463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AC598A8">
                            <w:pPr>
                              <w:pStyle w:val="503"/>
                              <w:bidi w:val="0"/>
                              <w:jc w:val="distribute"/>
                              <w:rPr>
                                <w:rFonts w:hint="eastAsia"/>
                                <w:sz w:val="30"/>
                                <w:szCs w:val="30"/>
                                <w:lang w:eastAsia="zh-CN"/>
                              </w:rPr>
                            </w:pPr>
                            <w:r>
                              <w:rPr>
                                <w:rFonts w:hint="eastAsia"/>
                                <w:sz w:val="30"/>
                                <w:szCs w:val="30"/>
                                <w:lang w:eastAsia="zh-CN"/>
                              </w:rPr>
                              <w:t>重庆消防协会</w:t>
                            </w:r>
                          </w:p>
                          <w:p w14:paraId="74FD9A64">
                            <w:pPr>
                              <w:pStyle w:val="503"/>
                              <w:bidi w:val="0"/>
                              <w:jc w:val="distribute"/>
                              <w:rPr>
                                <w:rFonts w:hint="eastAsia"/>
                                <w:lang w:eastAsia="zh-CN"/>
                              </w:rPr>
                            </w:pPr>
                            <w:r>
                              <w:rPr>
                                <w:rFonts w:hint="eastAsia"/>
                                <w:sz w:val="30"/>
                                <w:szCs w:val="30"/>
                                <w:lang w:eastAsia="zh-CN"/>
                              </w:rPr>
                              <w:t>四川省消防协会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80.95pt;margin-top:748.8pt;height:36.5pt;width:183.8pt;mso-position-horizontal-relative:page;mso-position-vertical-relative:page;mso-wrap-style:none;z-index:251668480;mso-width-relative:page;mso-height-relative:page;" fillcolor="#FFFFFF [3201]" filled="t" stroked="f" coordsize="21600,21600" o:gfxdata="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YiB&#10;YtwAAAANAQAADwAAAAAAAAABACAAAAAiAAAAZHJzL2Rvd25yZXYueG1sUEsBAhQAFAAAAAgAh07i&#10;QDh6fChXAgAAhwQAAA4AAAAAAAAAAQAgAAAAKwEAAGRycy9lMm9Eb2MueG1sUEsFBgAAAAAGAAYA&#10;WQEAAPQFAAAAAA==&#10;">
                <v:fill on="t" focussize="0,0"/>
                <v:stroke on="f" weight="0.5pt"/>
                <v:imagedata o:title=""/>
                <o:lock v:ext="edit" aspectratio="f"/>
                <v:textbox inset="0mm,0mm,0mm,0mm">
                  <w:txbxContent>
                    <w:p w14:paraId="2AC598A8">
                      <w:pPr>
                        <w:pStyle w:val="503"/>
                        <w:bidi w:val="0"/>
                        <w:jc w:val="distribute"/>
                        <w:rPr>
                          <w:rFonts w:hint="eastAsia"/>
                          <w:sz w:val="30"/>
                          <w:szCs w:val="30"/>
                          <w:lang w:eastAsia="zh-CN"/>
                        </w:rPr>
                      </w:pPr>
                      <w:r>
                        <w:rPr>
                          <w:rFonts w:hint="eastAsia"/>
                          <w:sz w:val="30"/>
                          <w:szCs w:val="30"/>
                          <w:lang w:eastAsia="zh-CN"/>
                        </w:rPr>
                        <w:t>重庆消防协会</w:t>
                      </w:r>
                    </w:p>
                    <w:p w14:paraId="74FD9A64">
                      <w:pPr>
                        <w:pStyle w:val="503"/>
                        <w:bidi w:val="0"/>
                        <w:jc w:val="distribute"/>
                        <w:rPr>
                          <w:rFonts w:hint="eastAsia"/>
                          <w:lang w:eastAsia="zh-CN"/>
                        </w:rPr>
                      </w:pPr>
                      <w:r>
                        <w:rPr>
                          <w:rFonts w:hint="eastAsia"/>
                          <w:sz w:val="30"/>
                          <w:szCs w:val="30"/>
                          <w:lang w:eastAsia="zh-CN"/>
                        </w:rPr>
                        <w:t>四川省消防协会</w:t>
                      </w:r>
                    </w:p>
                  </w:txbxContent>
                </v:textbox>
              </v:shape>
            </w:pict>
          </mc:Fallback>
        </mc:AlternateContent>
      </w: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0" r="0" b="0"/>
                <wp:wrapNone/>
                <wp:docPr id="34"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TN&#10;GmzXAAAADAEAAA8AAAAAAAAAAQAgAAAAIgAAAGRycy9kb3ducmV2LnhtbFBLAQIUABQAAAAIAIdO&#10;4kCB3i+g6wEAALUDAAAOAAAAAAAAAAEAIAAAACYBAABkcnMvZTJvRG9jLnhtbFBLBQYAAAAABgAG&#10;AFkBAACDBQAAAAA=&#10;">
                <v:fill on="f" focussize="0,0"/>
                <v:stroke weight="0.5pt" color="#000000 [3204]"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2540" b="8255"/>
                <wp:wrapNone/>
                <wp:docPr id="33"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E36CC78">
                            <w:pPr>
                              <w:pStyle w:val="291"/>
                              <w:bidi w:val="0"/>
                              <w:jc w:val="right"/>
                              <w:rPr>
                                <w:rFonts w:hint="eastAsia"/>
                                <w:lang w:eastAsia="zh-CN"/>
                              </w:rPr>
                            </w:pPr>
                            <w:r>
                              <w:rPr>
                                <w:rFonts w:hint="eastAsia"/>
                                <w:lang w:eastAsia="zh-CN"/>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hsJm2wAAAA4BAAAPAAAAAAAAAAEAIAAAACIAAABkcnMvZG93bnJldi54bWxQSwECFAAUAAAA&#10;CACHTuJADBvcK10CAACMBAAADgAAAAAAAAABACAAAAAqAQAAZHJzL2Uyb0RvYy54bWxQSwUGAAAA&#10;AAYABgBZAQAA+QUAAAAA&#10;">
                <v:fill on="t" focussize="0,0"/>
                <v:stroke on="f" weight="0.5pt"/>
                <v:imagedata o:title=""/>
                <o:lock v:ext="edit" aspectratio="f"/>
                <v:textbox inset="0mm,0mm,2.54mm,0mm">
                  <w:txbxContent>
                    <w:p w14:paraId="5E36CC78">
                      <w:pPr>
                        <w:pStyle w:val="291"/>
                        <w:bidi w:val="0"/>
                        <w:jc w:val="right"/>
                        <w:rPr>
                          <w:rFonts w:hint="eastAsia"/>
                          <w:lang w:eastAsia="zh-CN"/>
                        </w:rPr>
                      </w:pPr>
                      <w:r>
                        <w:rPr>
                          <w:rFonts w:hint="eastAsia"/>
                          <w:lang w:eastAsia="zh-CN"/>
                        </w:rPr>
                        <w:t>20XX-XX-XX实施</w:t>
                      </w:r>
                    </w:p>
                  </w:txbxContent>
                </v:textbox>
              </v:shape>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2540" b="8255"/>
                <wp:wrapNone/>
                <wp:docPr id="32"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85BB54F">
                            <w:pPr>
                              <w:pStyle w:val="264"/>
                              <w:bidi w:val="0"/>
                              <w:rPr>
                                <w:rFonts w:hint="eastAsia"/>
                                <w:lang w:eastAsia="zh-CN"/>
                              </w:rPr>
                            </w:pPr>
                            <w:r>
                              <w:rPr>
                                <w:rFonts w:hint="eastAsia"/>
                                <w:lang w:eastAsia="zh-CN"/>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G3I+dkAAAANAQAADwAAAAAAAAABACAAAAAiAAAAZHJzL2Rvd25yZXYueG1sUEsBAhQAFAAAAAgA&#10;h07iQIf3m0xdAgAAjAQAAA4AAAAAAAAAAQAgAAAAKAEAAGRycy9lMm9Eb2MueG1sUEsFBgAAAAAG&#10;AAYAWQEAAPcFAAAAAA==&#10;">
                <v:fill on="t" focussize="0,0"/>
                <v:stroke on="f" weight="0.5pt"/>
                <v:imagedata o:title=""/>
                <o:lock v:ext="edit" aspectratio="f"/>
                <v:textbox inset="0mm,0mm,2.54mm,0mm">
                  <w:txbxContent>
                    <w:p w14:paraId="785BB54F">
                      <w:pPr>
                        <w:pStyle w:val="264"/>
                        <w:bidi w:val="0"/>
                        <w:rPr>
                          <w:rFonts w:hint="eastAsia"/>
                          <w:lang w:eastAsia="zh-CN"/>
                        </w:rPr>
                      </w:pPr>
                      <w:r>
                        <w:rPr>
                          <w:rFonts w:hint="eastAsia"/>
                          <w:lang w:eastAsia="zh-CN"/>
                        </w:rPr>
                        <w:t>20XX-XX-XX发布</w:t>
                      </w:r>
                    </w:p>
                  </w:txbxContent>
                </v:textbox>
              </v:shape>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635" b="10160"/>
                <wp:wrapNone/>
                <wp:docPr id="31"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B10F570">
                            <w:pPr>
                              <w:pStyle w:val="268"/>
                              <w:bidi w:val="0"/>
                              <w:rPr>
                                <w:rFonts w:hint="eastAsia"/>
                                <w:lang w:eastAsia="zh-CN"/>
                              </w:rPr>
                            </w:pPr>
                            <w:r>
                              <w:rPr>
                                <w:rFonts w:hint="eastAsia"/>
                                <w:lang w:eastAsia="zh-CN"/>
                              </w:rPr>
                              <w:t>建筑电气防火检测技术规程</w:t>
                            </w:r>
                          </w:p>
                          <w:p w14:paraId="538D5895">
                            <w:pPr>
                              <w:pStyle w:val="272"/>
                              <w:bidi w:val="0"/>
                              <w:rPr>
                                <w:rFonts w:hint="eastAsia"/>
                                <w:lang w:eastAsia="zh-CN"/>
                              </w:rPr>
                            </w:pPr>
                          </w:p>
                          <w:p w14:paraId="224AB6E6">
                            <w:pPr>
                              <w:pStyle w:val="272"/>
                              <w:bidi w:val="0"/>
                              <w:rPr>
                                <w:rFonts w:hint="eastAsia"/>
                                <w:lang w:eastAsia="zh-CN"/>
                              </w:rPr>
                            </w:pPr>
                            <w:r>
                              <w:rPr>
                                <w:rFonts w:hint="eastAsia"/>
                                <w:lang w:eastAsia="zh-CN"/>
                              </w:rPr>
                              <w:t>（</w:t>
                            </w:r>
                            <w:r>
                              <w:rPr>
                                <w:rFonts w:hint="eastAsia"/>
                                <w:lang w:val="en-US" w:eastAsia="zh-CN"/>
                              </w:rPr>
                              <w:t>报批</w:t>
                            </w:r>
                            <w:r>
                              <w:rPr>
                                <w:rFonts w:hint="eastAsia"/>
                                <w:lang w:eastAsia="zh-CN"/>
                              </w:rPr>
                              <w:t>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xO9dDcAAAADQEAAA8AAAAAAAAAAQAgAAAAIgAAAGRycy9kb3ducmV2LnhtbFBLAQIU&#10;ABQAAAAIAIdO4kDvH4lOYQIAAI0EAAAOAAAAAAAAAAEAIAAAACsBAABkcnMvZTJvRG9jLnhtbFBL&#10;BQYAAAAABgAGAFkBAAD+BQAAAAA=&#10;">
                <v:fill on="t" focussize="0,0"/>
                <v:stroke on="f" weight="0.5pt"/>
                <v:imagedata o:title=""/>
                <o:lock v:ext="edit" aspectratio="f"/>
                <v:textbox inset="0mm,0mm,2.54mm,0mm">
                  <w:txbxContent>
                    <w:p w14:paraId="5B10F570">
                      <w:pPr>
                        <w:pStyle w:val="268"/>
                        <w:bidi w:val="0"/>
                        <w:rPr>
                          <w:rFonts w:hint="eastAsia"/>
                          <w:lang w:eastAsia="zh-CN"/>
                        </w:rPr>
                      </w:pPr>
                      <w:r>
                        <w:rPr>
                          <w:rFonts w:hint="eastAsia"/>
                          <w:lang w:eastAsia="zh-CN"/>
                        </w:rPr>
                        <w:t>建筑电气防火检测技术规程</w:t>
                      </w:r>
                    </w:p>
                    <w:p w14:paraId="538D5895">
                      <w:pPr>
                        <w:pStyle w:val="272"/>
                        <w:bidi w:val="0"/>
                        <w:rPr>
                          <w:rFonts w:hint="eastAsia"/>
                          <w:lang w:eastAsia="zh-CN"/>
                        </w:rPr>
                      </w:pPr>
                    </w:p>
                    <w:p w14:paraId="224AB6E6">
                      <w:pPr>
                        <w:pStyle w:val="272"/>
                        <w:bidi w:val="0"/>
                        <w:rPr>
                          <w:rFonts w:hint="eastAsia"/>
                          <w:lang w:eastAsia="zh-CN"/>
                        </w:rPr>
                      </w:pPr>
                      <w:r>
                        <w:rPr>
                          <w:rFonts w:hint="eastAsia"/>
                          <w:lang w:eastAsia="zh-CN"/>
                        </w:rPr>
                        <w:t>（</w:t>
                      </w:r>
                      <w:r>
                        <w:rPr>
                          <w:rFonts w:hint="eastAsia"/>
                          <w:lang w:val="en-US" w:eastAsia="zh-CN"/>
                        </w:rPr>
                        <w:t>报批</w:t>
                      </w:r>
                      <w:r>
                        <w:rPr>
                          <w:rFonts w:hint="eastAsia"/>
                          <w:lang w:eastAsia="zh-CN"/>
                        </w:rPr>
                        <w:t>稿）</w:t>
                      </w:r>
                    </w:p>
                  </w:txbxContent>
                </v:textbox>
              </v:shape>
            </w:pict>
          </mc:Fallback>
        </mc:AlternateContent>
      </w: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0" r="0" b="0"/>
                <wp:wrapNone/>
                <wp:docPr id="30"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vY4Z&#10;1gAAAAoBAAAPAAAAAAAAAAEAIAAAACIAAABkcnMvZG93bnJldi54bWxQSwECFAAUAAAACACHTuJA&#10;OfZW1+oBAAC0AwAADgAAAAAAAAABACAAAAAlAQAAZHJzL2Uyb0RvYy54bWxQSwUGAAAAAAYABgBZ&#10;AQAAgQUAAAAA&#10;">
                <v:fill on="f" focussize="0,0"/>
                <v:stroke weight="0.5pt" color="#000000 [3204]"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10160" b="3810"/>
                <wp:wrapNone/>
                <wp:docPr id="29"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68113D6">
                            <w:pPr>
                              <w:pStyle w:val="265"/>
                              <w:bidi w:val="0"/>
                              <w:rPr>
                                <w:rFonts w:hint="eastAsia"/>
                                <w:lang w:eastAsia="zh-CN"/>
                              </w:rPr>
                            </w:pPr>
                            <w:r>
                              <w:rPr>
                                <w:rFonts w:hint="eastAsia"/>
                                <w:lang w:eastAsia="zh-CN"/>
                              </w:rPr>
                              <w:t>T/CQFPA 001-2024</w:t>
                            </w:r>
                          </w:p>
                          <w:p w14:paraId="63F0B514">
                            <w:pPr>
                              <w:pStyle w:val="265"/>
                              <w:bidi w:val="0"/>
                              <w:rPr>
                                <w:rFonts w:hint="eastAsia"/>
                                <w:lang w:eastAsia="zh-CN"/>
                              </w:rPr>
                            </w:pPr>
                            <w:r>
                              <w:rPr>
                                <w:rFonts w:hint="eastAsia"/>
                                <w:lang w:val="en-US" w:eastAsia="zh-CN"/>
                              </w:rPr>
                              <w:t xml:space="preserve">   </w:t>
                            </w:r>
                            <w:r>
                              <w:rPr>
                                <w:rFonts w:hint="eastAsia"/>
                                <w:lang w:eastAsia="zh-CN"/>
                              </w:rPr>
                              <w:t>T/SCXFXH 001-2024</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1M7K+3AAAAAwBAAAPAAAAAAAAAAEAIAAAACIAAABkcnMvZG93bnJldi54bWxQSwECFAAU&#10;AAAACACHTuJAMZWdjF8CAACMBAAADgAAAAAAAAABACAAAAArAQAAZHJzL2Uyb0RvYy54bWxQSwUG&#10;AAAAAAYABgBZAQAA/AUAAAAA&#10;">
                <v:fill on="t" focussize="0,0"/>
                <v:stroke on="f" weight="0.5pt"/>
                <v:imagedata o:title=""/>
                <o:lock v:ext="edit" aspectratio="f"/>
                <v:textbox inset="0mm,0mm,2.54mm,0mm">
                  <w:txbxContent>
                    <w:p w14:paraId="068113D6">
                      <w:pPr>
                        <w:pStyle w:val="265"/>
                        <w:bidi w:val="0"/>
                        <w:rPr>
                          <w:rFonts w:hint="eastAsia"/>
                          <w:lang w:eastAsia="zh-CN"/>
                        </w:rPr>
                      </w:pPr>
                      <w:r>
                        <w:rPr>
                          <w:rFonts w:hint="eastAsia"/>
                          <w:lang w:eastAsia="zh-CN"/>
                        </w:rPr>
                        <w:t>T/CQFPA 001-2024</w:t>
                      </w:r>
                    </w:p>
                    <w:p w14:paraId="63F0B514">
                      <w:pPr>
                        <w:pStyle w:val="265"/>
                        <w:bidi w:val="0"/>
                        <w:rPr>
                          <w:rFonts w:hint="eastAsia"/>
                          <w:lang w:eastAsia="zh-CN"/>
                        </w:rPr>
                      </w:pPr>
                      <w:r>
                        <w:rPr>
                          <w:rFonts w:hint="eastAsia"/>
                          <w:lang w:val="en-US" w:eastAsia="zh-CN"/>
                        </w:rPr>
                        <w:t xml:space="preserve">   </w:t>
                      </w:r>
                      <w:r>
                        <w:rPr>
                          <w:rFonts w:hint="eastAsia"/>
                          <w:lang w:eastAsia="zh-CN"/>
                        </w:rPr>
                        <w:t>T/SCXFXH 001-2024</w:t>
                      </w:r>
                    </w:p>
                  </w:txbxContent>
                </v:textbox>
              </v:shape>
            </w:pict>
          </mc:Fallback>
        </mc:AlternateContent>
      </w:r>
    </w:p>
    <w:sdt>
      <w:sdtPr>
        <w:rPr>
          <w:rFonts w:ascii="宋体" w:hAnsi="宋体" w:eastAsia="宋体" w:cs="Times New Roman"/>
          <w:color w:val="auto"/>
          <w:kern w:val="2"/>
          <w:sz w:val="21"/>
          <w:szCs w:val="24"/>
          <w:lang w:val="en-US" w:eastAsia="zh-CN" w:bidi="ar-SA"/>
        </w:rPr>
        <w:id w:val="147471240"/>
        <w15:color w:val="DBDBDB"/>
        <w:docPartObj>
          <w:docPartGallery w:val="Table of Contents"/>
          <w:docPartUnique/>
        </w:docPartObj>
      </w:sdtPr>
      <w:sdtEndPr>
        <w:rPr>
          <w:rFonts w:hint="eastAsia" w:ascii="Times New Roman" w:hAnsi="Times New Roman" w:eastAsia="宋体" w:cs="Times New Roman"/>
          <w:color w:val="auto"/>
          <w:kern w:val="2"/>
          <w:sz w:val="21"/>
          <w:szCs w:val="24"/>
          <w:lang w:val="en-US" w:eastAsia="zh-CN" w:bidi="ar-SA"/>
        </w:rPr>
      </w:sdtEndPr>
      <w:sdtContent>
        <w:p w14:paraId="399BA783">
          <w:pPr>
            <w:spacing w:before="0" w:beforeLines="0" w:after="0" w:afterLines="0" w:line="240" w:lineRule="auto"/>
            <w:ind w:left="0" w:leftChars="0" w:right="0" w:rightChars="0" w:firstLine="0" w:firstLineChars="0"/>
            <w:jc w:val="center"/>
            <w:rPr>
              <w:rFonts w:hint="eastAsia" w:ascii="黑体" w:hAnsi="黑体" w:eastAsia="黑体" w:cs="黑体"/>
              <w:color w:val="auto"/>
              <w:sz w:val="32"/>
              <w:szCs w:val="32"/>
            </w:rPr>
          </w:pPr>
          <w:bookmarkStart w:id="6" w:name="标准目次"/>
          <w:bookmarkEnd w:id="6"/>
          <w:r>
            <w:rPr>
              <w:rFonts w:hint="eastAsia" w:ascii="黑体" w:hAnsi="黑体" w:eastAsia="黑体" w:cs="黑体"/>
              <w:color w:val="auto"/>
              <w:sz w:val="32"/>
              <w:szCs w:val="32"/>
              <w:lang w:eastAsia="zh-CN"/>
            </w:rPr>
            <w:t>目    次</w:t>
          </w:r>
        </w:p>
        <w:p w14:paraId="2076CCDF">
          <w:pPr>
            <w:pStyle w:val="19"/>
            <w:tabs>
              <w:tab w:val="right" w:leader="dot" w:pos="9355"/>
            </w:tabs>
            <w:rPr>
              <w:rFonts w:hint="eastAsia" w:ascii="宋体" w:hAnsi="宋体" w:eastAsia="宋体" w:cs="宋体"/>
              <w:color w:val="auto"/>
            </w:rPr>
          </w:pPr>
          <w:r>
            <w:rPr>
              <w:rFonts w:hint="eastAsia"/>
              <w:color w:val="auto"/>
              <w:lang w:eastAsia="zh-CN"/>
            </w:rPr>
            <w:fldChar w:fldCharType="begin"/>
          </w:r>
          <w:r>
            <w:rPr>
              <w:rFonts w:hint="eastAsia"/>
              <w:color w:val="auto"/>
              <w:lang w:eastAsia="zh-CN"/>
            </w:rPr>
            <w:instrText xml:space="preserve">TOC \o "1-3" \h \u </w:instrText>
          </w:r>
          <w:r>
            <w:rPr>
              <w:rFonts w:hint="eastAsia"/>
              <w:color w:val="auto"/>
              <w:lang w:eastAsia="zh-CN"/>
            </w:rPr>
            <w:fldChar w:fldCharType="separate"/>
          </w: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_Toc266 </w:instrText>
          </w:r>
          <w:r>
            <w:rPr>
              <w:rFonts w:hint="eastAsia" w:ascii="宋体" w:hAnsi="宋体" w:eastAsia="宋体" w:cs="宋体"/>
              <w:color w:val="auto"/>
              <w:lang w:eastAsia="zh-CN"/>
            </w:rPr>
            <w:fldChar w:fldCharType="separate"/>
          </w:r>
          <w:r>
            <w:rPr>
              <w:rFonts w:hint="eastAsia" w:ascii="宋体" w:hAnsi="宋体" w:eastAsia="宋体" w:cs="宋体"/>
              <w:color w:val="auto"/>
              <w:lang w:eastAsia="zh-CN"/>
            </w:rPr>
            <w:t>前    言</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_Toc266 \h </w:instrText>
          </w:r>
          <w:r>
            <w:rPr>
              <w:rFonts w:hint="eastAsia" w:ascii="宋体" w:hAnsi="宋体" w:eastAsia="宋体" w:cs="宋体"/>
              <w:color w:val="auto"/>
            </w:rPr>
            <w:fldChar w:fldCharType="separate"/>
          </w:r>
          <w:r>
            <w:rPr>
              <w:rFonts w:hint="eastAsia" w:ascii="宋体" w:hAnsi="宋体" w:eastAsia="宋体" w:cs="宋体"/>
              <w:color w:val="auto"/>
            </w:rPr>
            <w:t>III</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72506989">
          <w:pPr>
            <w:pStyle w:val="18"/>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_Toc28038 </w:instrText>
          </w:r>
          <w:r>
            <w:rPr>
              <w:rFonts w:hint="eastAsia" w:ascii="宋体" w:hAnsi="宋体" w:eastAsia="宋体" w:cs="宋体"/>
              <w:color w:val="auto"/>
              <w:lang w:eastAsia="zh-CN"/>
            </w:rPr>
            <w:fldChar w:fldCharType="separate"/>
          </w:r>
          <w:r>
            <w:rPr>
              <w:rFonts w:hint="eastAsia" w:ascii="宋体" w:hAnsi="宋体" w:eastAsia="宋体" w:cs="宋体"/>
              <w:i w:val="0"/>
              <w:color w:val="auto"/>
              <w:szCs w:val="21"/>
            </w:rPr>
            <w:t xml:space="preserve">1 </w:t>
          </w:r>
          <w:r>
            <w:rPr>
              <w:rFonts w:hint="eastAsia" w:ascii="宋体" w:hAnsi="宋体" w:eastAsia="宋体" w:cs="宋体"/>
              <w:color w:val="auto"/>
            </w:rPr>
            <w:t>范围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_Toc28038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7242082E">
          <w:pPr>
            <w:pStyle w:val="18"/>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_Toc25896 </w:instrText>
          </w:r>
          <w:r>
            <w:rPr>
              <w:rFonts w:hint="eastAsia" w:ascii="宋体" w:hAnsi="宋体" w:eastAsia="宋体" w:cs="宋体"/>
              <w:color w:val="auto"/>
              <w:lang w:eastAsia="zh-CN"/>
            </w:rPr>
            <w:fldChar w:fldCharType="separate"/>
          </w:r>
          <w:r>
            <w:rPr>
              <w:rFonts w:hint="eastAsia" w:ascii="宋体" w:hAnsi="宋体" w:eastAsia="宋体" w:cs="宋体"/>
              <w:i w:val="0"/>
              <w:color w:val="auto"/>
              <w:szCs w:val="21"/>
            </w:rPr>
            <w:t xml:space="preserve">2 </w:t>
          </w:r>
          <w:r>
            <w:rPr>
              <w:rFonts w:hint="eastAsia" w:ascii="宋体" w:hAnsi="宋体" w:eastAsia="宋体" w:cs="宋体"/>
              <w:color w:val="auto"/>
            </w:rPr>
            <w:t>规范性引用文件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_Toc25896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63EEC1E3">
          <w:pPr>
            <w:pStyle w:val="18"/>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_Toc11952 </w:instrText>
          </w:r>
          <w:r>
            <w:rPr>
              <w:rFonts w:hint="eastAsia" w:ascii="宋体" w:hAnsi="宋体" w:eastAsia="宋体" w:cs="宋体"/>
              <w:color w:val="auto"/>
              <w:lang w:eastAsia="zh-CN"/>
            </w:rPr>
            <w:fldChar w:fldCharType="separate"/>
          </w:r>
          <w:r>
            <w:rPr>
              <w:rFonts w:hint="eastAsia" w:ascii="宋体" w:hAnsi="宋体" w:eastAsia="宋体" w:cs="宋体"/>
              <w:i w:val="0"/>
              <w:color w:val="auto"/>
              <w:szCs w:val="21"/>
            </w:rPr>
            <w:t xml:space="preserve">3 </w:t>
          </w:r>
          <w:r>
            <w:rPr>
              <w:rFonts w:hint="eastAsia" w:ascii="宋体" w:hAnsi="宋体" w:eastAsia="宋体" w:cs="宋体"/>
              <w:color w:val="auto"/>
            </w:rPr>
            <w:t>术语和定义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_Toc11952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6290E81E">
          <w:pPr>
            <w:pStyle w:val="18"/>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_Toc18880 </w:instrText>
          </w:r>
          <w:r>
            <w:rPr>
              <w:rFonts w:hint="eastAsia" w:ascii="宋体" w:hAnsi="宋体" w:eastAsia="宋体" w:cs="宋体"/>
              <w:color w:val="auto"/>
              <w:lang w:eastAsia="zh-CN"/>
            </w:rPr>
            <w:fldChar w:fldCharType="separate"/>
          </w:r>
          <w:r>
            <w:rPr>
              <w:rFonts w:hint="eastAsia" w:ascii="宋体" w:hAnsi="宋体" w:eastAsia="宋体" w:cs="宋体"/>
              <w:i w:val="0"/>
              <w:color w:val="auto"/>
              <w:szCs w:val="21"/>
            </w:rPr>
            <w:t xml:space="preserve">4 </w:t>
          </w:r>
          <w:r>
            <w:rPr>
              <w:rFonts w:hint="eastAsia" w:ascii="宋体" w:hAnsi="宋体" w:eastAsia="宋体" w:cs="宋体"/>
              <w:color w:val="auto"/>
              <w:lang w:val="en-US" w:eastAsia="zh-CN"/>
            </w:rPr>
            <w:t>一般规定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_Toc18880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190AD27D">
          <w:pPr>
            <w:pStyle w:val="18"/>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_Toc14025 </w:instrText>
          </w:r>
          <w:r>
            <w:rPr>
              <w:rFonts w:hint="eastAsia" w:ascii="宋体" w:hAnsi="宋体" w:eastAsia="宋体" w:cs="宋体"/>
              <w:color w:val="auto"/>
              <w:lang w:eastAsia="zh-CN"/>
            </w:rPr>
            <w:fldChar w:fldCharType="separate"/>
          </w:r>
          <w:r>
            <w:rPr>
              <w:rFonts w:hint="eastAsia" w:ascii="宋体" w:hAnsi="宋体" w:eastAsia="宋体" w:cs="宋体"/>
              <w:i w:val="0"/>
              <w:color w:val="auto"/>
              <w:szCs w:val="21"/>
              <w:lang w:val="en-US" w:eastAsia="zh-CN"/>
            </w:rPr>
            <w:t xml:space="preserve">5 </w:t>
          </w:r>
          <w:r>
            <w:rPr>
              <w:rFonts w:hint="eastAsia" w:ascii="宋体" w:hAnsi="宋体" w:eastAsia="宋体" w:cs="宋体"/>
              <w:color w:val="auto"/>
              <w:lang w:val="en-US" w:eastAsia="zh-CN"/>
            </w:rPr>
            <w:t>检测流程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_Toc14025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72961558">
          <w:pPr>
            <w:pStyle w:val="17"/>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_Toc1394 </w:instrText>
          </w:r>
          <w:r>
            <w:rPr>
              <w:rFonts w:hint="eastAsia" w:ascii="宋体" w:hAnsi="宋体" w:eastAsia="宋体" w:cs="宋体"/>
              <w:color w:val="auto"/>
              <w:lang w:eastAsia="zh-CN"/>
            </w:rPr>
            <w:fldChar w:fldCharType="separate"/>
          </w:r>
          <w:r>
            <w:rPr>
              <w:rFonts w:hint="eastAsia" w:ascii="宋体" w:hAnsi="宋体" w:eastAsia="宋体" w:cs="宋体"/>
              <w:snapToGrid w:val="0"/>
              <w:color w:val="auto"/>
              <w:spacing w:val="8"/>
              <w:kern w:val="0"/>
              <w:szCs w:val="21"/>
              <w:highlight w:val="none"/>
              <w:lang w:val="en-US" w:eastAsia="zh-CN"/>
            </w:rPr>
            <w:t>5.1  检测流程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_Toc1394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017BABB1">
          <w:pPr>
            <w:pStyle w:val="17"/>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_Toc9947 </w:instrText>
          </w:r>
          <w:r>
            <w:rPr>
              <w:rFonts w:hint="eastAsia" w:ascii="宋体" w:hAnsi="宋体" w:eastAsia="宋体" w:cs="宋体"/>
              <w:color w:val="auto"/>
              <w:lang w:eastAsia="zh-CN"/>
            </w:rPr>
            <w:fldChar w:fldCharType="separate"/>
          </w:r>
          <w:r>
            <w:rPr>
              <w:rFonts w:hint="eastAsia" w:ascii="宋体" w:hAnsi="宋体" w:eastAsia="宋体" w:cs="宋体"/>
              <w:snapToGrid w:val="0"/>
              <w:color w:val="auto"/>
              <w:spacing w:val="8"/>
              <w:kern w:val="0"/>
              <w:szCs w:val="21"/>
              <w:highlight w:val="none"/>
              <w:lang w:val="en-US" w:eastAsia="zh-CN"/>
            </w:rPr>
            <w:t>5.2  检测要求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_Toc9947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0E702E17">
          <w:pPr>
            <w:pStyle w:val="17"/>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_Toc28260 </w:instrText>
          </w:r>
          <w:r>
            <w:rPr>
              <w:rFonts w:hint="eastAsia" w:ascii="宋体" w:hAnsi="宋体" w:eastAsia="宋体" w:cs="宋体"/>
              <w:color w:val="auto"/>
              <w:lang w:eastAsia="zh-CN"/>
            </w:rPr>
            <w:fldChar w:fldCharType="separate"/>
          </w:r>
          <w:r>
            <w:rPr>
              <w:rFonts w:hint="eastAsia" w:ascii="宋体" w:hAnsi="宋体" w:eastAsia="宋体" w:cs="宋体"/>
              <w:snapToGrid w:val="0"/>
              <w:color w:val="auto"/>
              <w:spacing w:val="8"/>
              <w:kern w:val="0"/>
              <w:szCs w:val="21"/>
              <w:highlight w:val="none"/>
              <w:lang w:val="en-US" w:eastAsia="zh-CN"/>
            </w:rPr>
            <w:t>5.3  抽样原则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_Toc28260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5270BCC8">
          <w:pPr>
            <w:pStyle w:val="18"/>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_Toc22702 </w:instrText>
          </w:r>
          <w:r>
            <w:rPr>
              <w:rFonts w:hint="eastAsia" w:ascii="宋体" w:hAnsi="宋体" w:eastAsia="宋体" w:cs="宋体"/>
              <w:color w:val="auto"/>
              <w:lang w:eastAsia="zh-CN"/>
            </w:rPr>
            <w:fldChar w:fldCharType="separate"/>
          </w:r>
          <w:r>
            <w:rPr>
              <w:rFonts w:hint="eastAsia" w:ascii="宋体" w:hAnsi="宋体" w:eastAsia="宋体" w:cs="宋体"/>
              <w:i w:val="0"/>
              <w:color w:val="auto"/>
              <w:szCs w:val="21"/>
              <w:lang w:val="en-US" w:eastAsia="zh-CN"/>
            </w:rPr>
            <w:t xml:space="preserve">6 </w:t>
          </w:r>
          <w:r>
            <w:rPr>
              <w:rFonts w:hint="eastAsia" w:ascii="宋体" w:hAnsi="宋体" w:eastAsia="宋体" w:cs="宋体"/>
              <w:color w:val="auto"/>
            </w:rPr>
            <w:t>技术要求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_Toc22702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0A6C4FF6">
          <w:pPr>
            <w:pStyle w:val="17"/>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_Toc19086 </w:instrText>
          </w:r>
          <w:r>
            <w:rPr>
              <w:rFonts w:hint="eastAsia" w:ascii="宋体" w:hAnsi="宋体" w:eastAsia="宋体" w:cs="宋体"/>
              <w:color w:val="auto"/>
              <w:lang w:eastAsia="zh-CN"/>
            </w:rPr>
            <w:fldChar w:fldCharType="separate"/>
          </w:r>
          <w:r>
            <w:rPr>
              <w:rFonts w:hint="eastAsia" w:ascii="宋体" w:hAnsi="宋体" w:eastAsia="宋体" w:cs="宋体"/>
              <w:snapToGrid w:val="0"/>
              <w:color w:val="auto"/>
              <w:kern w:val="0"/>
              <w:szCs w:val="21"/>
              <w:lang w:val="en-US" w:eastAsia="zh-CN" w:bidi="ar"/>
            </w:rPr>
            <w:t>6.1  变配电装置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_Toc19086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015A6F44">
          <w:pPr>
            <w:pStyle w:val="17"/>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_Toc18533 </w:instrText>
          </w:r>
          <w:r>
            <w:rPr>
              <w:rFonts w:hint="eastAsia" w:ascii="宋体" w:hAnsi="宋体" w:eastAsia="宋体" w:cs="宋体"/>
              <w:color w:val="auto"/>
              <w:lang w:eastAsia="zh-CN"/>
            </w:rPr>
            <w:fldChar w:fldCharType="separate"/>
          </w:r>
          <w:r>
            <w:rPr>
              <w:rFonts w:hint="eastAsia" w:ascii="宋体" w:hAnsi="宋体" w:eastAsia="宋体" w:cs="宋体"/>
              <w:snapToGrid w:val="0"/>
              <w:color w:val="auto"/>
              <w:kern w:val="0"/>
              <w:szCs w:val="21"/>
              <w:lang w:val="en-US" w:eastAsia="zh-CN" w:bidi="ar"/>
            </w:rPr>
            <w:t xml:space="preserve">6.2  </w:t>
          </w:r>
          <w:r>
            <w:rPr>
              <w:rFonts w:hint="eastAsia" w:ascii="宋体" w:hAnsi="宋体" w:eastAsia="宋体" w:cs="宋体"/>
              <w:color w:val="auto"/>
              <w:spacing w:val="11"/>
              <w:szCs w:val="21"/>
              <w:lang w:val="en-US" w:eastAsia="zh-CN"/>
            </w:rPr>
            <w:t>低压电器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_Toc18533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4115703A">
          <w:pPr>
            <w:pStyle w:val="17"/>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_Toc25452 </w:instrText>
          </w:r>
          <w:r>
            <w:rPr>
              <w:rFonts w:hint="eastAsia" w:ascii="宋体" w:hAnsi="宋体" w:eastAsia="宋体" w:cs="宋体"/>
              <w:color w:val="auto"/>
              <w:lang w:eastAsia="zh-CN"/>
            </w:rPr>
            <w:fldChar w:fldCharType="separate"/>
          </w:r>
          <w:r>
            <w:rPr>
              <w:rFonts w:hint="eastAsia" w:ascii="宋体" w:hAnsi="宋体" w:eastAsia="宋体" w:cs="宋体"/>
              <w:snapToGrid w:val="0"/>
              <w:color w:val="auto"/>
              <w:kern w:val="0"/>
              <w:szCs w:val="21"/>
              <w:lang w:val="en-US" w:eastAsia="zh-CN" w:bidi="ar"/>
            </w:rPr>
            <w:t>6.3</w:t>
          </w:r>
          <w:r>
            <w:rPr>
              <w:rFonts w:hint="eastAsia" w:ascii="宋体" w:hAnsi="宋体" w:eastAsia="宋体" w:cs="宋体"/>
              <w:color w:val="auto"/>
              <w:spacing w:val="11"/>
              <w:szCs w:val="21"/>
              <w:lang w:val="en-US" w:eastAsia="zh-CN"/>
            </w:rPr>
            <w:t xml:space="preserve">  低压配电线路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_Toc25452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7AE5861D">
          <w:pPr>
            <w:pStyle w:val="17"/>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_Toc26598 </w:instrText>
          </w:r>
          <w:r>
            <w:rPr>
              <w:rFonts w:hint="eastAsia" w:ascii="宋体" w:hAnsi="宋体" w:eastAsia="宋体" w:cs="宋体"/>
              <w:color w:val="auto"/>
              <w:lang w:eastAsia="zh-CN"/>
            </w:rPr>
            <w:fldChar w:fldCharType="separate"/>
          </w:r>
          <w:r>
            <w:rPr>
              <w:rFonts w:hint="eastAsia" w:ascii="宋体" w:hAnsi="宋体" w:eastAsia="宋体" w:cs="宋体"/>
              <w:snapToGrid w:val="0"/>
              <w:color w:val="auto"/>
              <w:kern w:val="0"/>
              <w:szCs w:val="21"/>
              <w:lang w:val="en-US" w:eastAsia="zh-CN" w:bidi="ar"/>
            </w:rPr>
            <w:t>6.4</w:t>
          </w:r>
          <w:r>
            <w:rPr>
              <w:rFonts w:hint="eastAsia" w:ascii="宋体" w:hAnsi="宋体" w:eastAsia="宋体" w:cs="宋体"/>
              <w:color w:val="auto"/>
              <w:spacing w:val="8"/>
              <w:szCs w:val="21"/>
              <w:lang w:val="en-US" w:eastAsia="zh-CN"/>
            </w:rPr>
            <w:t xml:space="preserve">  照明灯具和开关、插座</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_Toc26598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20E5EA71">
          <w:pPr>
            <w:pStyle w:val="17"/>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_Toc24635 </w:instrText>
          </w:r>
          <w:r>
            <w:rPr>
              <w:rFonts w:hint="eastAsia" w:ascii="宋体" w:hAnsi="宋体" w:eastAsia="宋体" w:cs="宋体"/>
              <w:color w:val="auto"/>
              <w:lang w:eastAsia="zh-CN"/>
            </w:rPr>
            <w:fldChar w:fldCharType="separate"/>
          </w:r>
          <w:r>
            <w:rPr>
              <w:rFonts w:hint="eastAsia" w:ascii="宋体" w:hAnsi="宋体" w:eastAsia="宋体" w:cs="宋体"/>
              <w:snapToGrid w:val="0"/>
              <w:color w:val="auto"/>
              <w:kern w:val="0"/>
              <w:szCs w:val="21"/>
              <w:lang w:val="en-US" w:eastAsia="zh-CN" w:bidi="ar"/>
            </w:rPr>
            <w:t>6.5</w:t>
          </w:r>
          <w:r>
            <w:rPr>
              <w:rFonts w:hint="eastAsia" w:ascii="宋体" w:hAnsi="宋体" w:eastAsia="宋体" w:cs="宋体"/>
              <w:color w:val="auto"/>
              <w:spacing w:val="8"/>
              <w:szCs w:val="21"/>
              <w:lang w:val="en-US" w:eastAsia="zh-CN"/>
            </w:rPr>
            <w:t xml:space="preserve">  常用电器装置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_Toc24635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5AC5FBE8">
          <w:pPr>
            <w:pStyle w:val="17"/>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_Toc4768 </w:instrText>
          </w:r>
          <w:r>
            <w:rPr>
              <w:rFonts w:hint="eastAsia" w:ascii="宋体" w:hAnsi="宋体" w:eastAsia="宋体" w:cs="宋体"/>
              <w:color w:val="auto"/>
              <w:lang w:eastAsia="zh-CN"/>
            </w:rPr>
            <w:fldChar w:fldCharType="separate"/>
          </w:r>
          <w:r>
            <w:rPr>
              <w:rFonts w:hint="eastAsia" w:ascii="宋体" w:hAnsi="宋体" w:eastAsia="宋体" w:cs="宋体"/>
              <w:snapToGrid w:val="0"/>
              <w:color w:val="auto"/>
              <w:kern w:val="0"/>
              <w:szCs w:val="21"/>
              <w:lang w:val="en-US" w:eastAsia="zh-CN" w:bidi="ar"/>
            </w:rPr>
            <w:t>6.6</w:t>
          </w:r>
          <w:r>
            <w:rPr>
              <w:rFonts w:hint="eastAsia" w:ascii="宋体" w:hAnsi="宋体" w:eastAsia="宋体" w:cs="宋体"/>
              <w:color w:val="auto"/>
              <w:spacing w:val="8"/>
              <w:szCs w:val="21"/>
              <w:lang w:val="en-US" w:eastAsia="zh-CN"/>
            </w:rPr>
            <w:t xml:space="preserve">  其它用电装置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_Toc4768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1893161C">
          <w:pPr>
            <w:pStyle w:val="17"/>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_Toc25393 </w:instrText>
          </w:r>
          <w:r>
            <w:rPr>
              <w:rFonts w:hint="eastAsia" w:ascii="宋体" w:hAnsi="宋体" w:eastAsia="宋体" w:cs="宋体"/>
              <w:color w:val="auto"/>
              <w:lang w:eastAsia="zh-CN"/>
            </w:rPr>
            <w:fldChar w:fldCharType="separate"/>
          </w:r>
          <w:r>
            <w:rPr>
              <w:rFonts w:hint="eastAsia" w:ascii="宋体" w:hAnsi="宋体" w:eastAsia="宋体" w:cs="宋体"/>
              <w:snapToGrid w:val="0"/>
              <w:color w:val="auto"/>
              <w:kern w:val="0"/>
              <w:szCs w:val="21"/>
              <w:lang w:val="en-US" w:eastAsia="zh-CN" w:bidi="ar"/>
            </w:rPr>
            <w:t>6.7</w:t>
          </w:r>
          <w:r>
            <w:rPr>
              <w:rFonts w:hint="eastAsia" w:ascii="宋体" w:hAnsi="宋体" w:eastAsia="宋体" w:cs="宋体"/>
              <w:color w:val="auto"/>
              <w:spacing w:val="11"/>
              <w:szCs w:val="21"/>
              <w:lang w:val="en-US" w:eastAsia="zh-CN"/>
            </w:rPr>
            <w:t xml:space="preserve">  接地和等电位联结</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_Toc25393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40DDCC23">
          <w:pPr>
            <w:pStyle w:val="18"/>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_Toc2377 </w:instrText>
          </w:r>
          <w:r>
            <w:rPr>
              <w:rFonts w:hint="eastAsia" w:ascii="宋体" w:hAnsi="宋体" w:eastAsia="宋体" w:cs="宋体"/>
              <w:color w:val="auto"/>
              <w:lang w:eastAsia="zh-CN"/>
            </w:rPr>
            <w:fldChar w:fldCharType="separate"/>
          </w:r>
          <w:r>
            <w:rPr>
              <w:rFonts w:hint="eastAsia" w:ascii="宋体" w:hAnsi="宋体" w:eastAsia="宋体" w:cs="宋体"/>
              <w:i w:val="0"/>
              <w:color w:val="auto"/>
              <w:szCs w:val="21"/>
              <w:lang w:val="en-US" w:eastAsia="zh-CN"/>
            </w:rPr>
            <w:t xml:space="preserve">7 </w:t>
          </w:r>
          <w:r>
            <w:rPr>
              <w:rFonts w:hint="eastAsia" w:ascii="宋体" w:hAnsi="宋体" w:eastAsia="宋体" w:cs="宋体"/>
              <w:color w:val="auto"/>
              <w:lang w:val="en-US" w:eastAsia="zh-CN"/>
            </w:rPr>
            <w:t>检测方法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_Toc2377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22D09D42">
          <w:pPr>
            <w:pStyle w:val="17"/>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_Toc3248 </w:instrText>
          </w:r>
          <w:r>
            <w:rPr>
              <w:rFonts w:hint="eastAsia" w:ascii="宋体" w:hAnsi="宋体" w:eastAsia="宋体" w:cs="宋体"/>
              <w:color w:val="auto"/>
              <w:lang w:eastAsia="zh-CN"/>
            </w:rPr>
            <w:fldChar w:fldCharType="separate"/>
          </w:r>
          <w:r>
            <w:rPr>
              <w:rFonts w:hint="eastAsia" w:ascii="宋体" w:hAnsi="宋体" w:eastAsia="宋体" w:cs="宋体"/>
              <w:snapToGrid w:val="0"/>
              <w:color w:val="auto"/>
              <w:spacing w:val="8"/>
              <w:kern w:val="0"/>
              <w:szCs w:val="21"/>
              <w:highlight w:val="none"/>
              <w:lang w:val="en-US" w:eastAsia="zh-CN"/>
            </w:rPr>
            <w:t>7.1  检测方法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_Toc3248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68857DCA">
          <w:pPr>
            <w:pStyle w:val="17"/>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_Toc10649 </w:instrText>
          </w:r>
          <w:r>
            <w:rPr>
              <w:rFonts w:hint="eastAsia" w:ascii="宋体" w:hAnsi="宋体" w:eastAsia="宋体" w:cs="宋体"/>
              <w:color w:val="auto"/>
              <w:lang w:eastAsia="zh-CN"/>
            </w:rPr>
            <w:fldChar w:fldCharType="separate"/>
          </w:r>
          <w:r>
            <w:rPr>
              <w:rFonts w:hint="eastAsia" w:ascii="宋体" w:hAnsi="宋体" w:eastAsia="宋体" w:cs="宋体"/>
              <w:snapToGrid w:val="0"/>
              <w:color w:val="auto"/>
              <w:spacing w:val="8"/>
              <w:kern w:val="0"/>
              <w:szCs w:val="21"/>
              <w:highlight w:val="none"/>
              <w:lang w:val="en-US" w:eastAsia="zh-CN"/>
            </w:rPr>
            <w:t>7.2  判定标准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_Toc10649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32722FAC">
          <w:pPr>
            <w:pStyle w:val="18"/>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_Toc7859 </w:instrText>
          </w:r>
          <w:r>
            <w:rPr>
              <w:rFonts w:hint="eastAsia" w:ascii="宋体" w:hAnsi="宋体" w:eastAsia="宋体" w:cs="宋体"/>
              <w:color w:val="auto"/>
              <w:lang w:eastAsia="zh-CN"/>
            </w:rPr>
            <w:fldChar w:fldCharType="separate"/>
          </w:r>
          <w:r>
            <w:rPr>
              <w:rFonts w:hint="eastAsia" w:ascii="宋体" w:hAnsi="宋体" w:eastAsia="宋体" w:cs="宋体"/>
              <w:i w:val="0"/>
              <w:color w:val="auto"/>
              <w:szCs w:val="21"/>
              <w:lang w:val="en-US" w:eastAsia="zh-CN"/>
            </w:rPr>
            <w:t xml:space="preserve">8 </w:t>
          </w:r>
          <w:r>
            <w:rPr>
              <w:rFonts w:hint="eastAsia" w:ascii="宋体" w:hAnsi="宋体" w:eastAsia="宋体" w:cs="宋体"/>
              <w:color w:val="auto"/>
              <w:lang w:val="en-US" w:eastAsia="zh-CN"/>
            </w:rPr>
            <w:t>检测记录与报告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_Toc7859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555DDD21">
          <w:pPr>
            <w:pStyle w:val="17"/>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_Toc22616 </w:instrText>
          </w:r>
          <w:r>
            <w:rPr>
              <w:rFonts w:hint="eastAsia" w:ascii="宋体" w:hAnsi="宋体" w:eastAsia="宋体" w:cs="宋体"/>
              <w:color w:val="auto"/>
              <w:lang w:eastAsia="zh-CN"/>
            </w:rPr>
            <w:fldChar w:fldCharType="separate"/>
          </w:r>
          <w:r>
            <w:rPr>
              <w:rFonts w:hint="eastAsia" w:ascii="宋体" w:hAnsi="宋体" w:eastAsia="宋体" w:cs="宋体"/>
              <w:snapToGrid w:val="0"/>
              <w:color w:val="auto"/>
              <w:spacing w:val="8"/>
              <w:kern w:val="0"/>
              <w:szCs w:val="21"/>
              <w:lang w:val="en-US" w:eastAsia="zh-CN"/>
            </w:rPr>
            <w:t>8.1  检测记录要求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_Toc22616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0187CA6F">
          <w:pPr>
            <w:pStyle w:val="17"/>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_Toc11072 </w:instrText>
          </w:r>
          <w:r>
            <w:rPr>
              <w:rFonts w:hint="eastAsia" w:ascii="宋体" w:hAnsi="宋体" w:eastAsia="宋体" w:cs="宋体"/>
              <w:color w:val="auto"/>
              <w:lang w:eastAsia="zh-CN"/>
            </w:rPr>
            <w:fldChar w:fldCharType="separate"/>
          </w:r>
          <w:r>
            <w:rPr>
              <w:rFonts w:hint="eastAsia" w:ascii="宋体" w:hAnsi="宋体" w:eastAsia="宋体" w:cs="宋体"/>
              <w:snapToGrid w:val="0"/>
              <w:color w:val="auto"/>
              <w:spacing w:val="8"/>
              <w:kern w:val="0"/>
              <w:szCs w:val="21"/>
              <w:lang w:val="en-US" w:eastAsia="zh-CN"/>
            </w:rPr>
            <w:t>8.2  检测报告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_Toc11072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49F9ECA1">
          <w:pPr>
            <w:pStyle w:val="19"/>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_Toc4851 </w:instrText>
          </w:r>
          <w:r>
            <w:rPr>
              <w:rFonts w:hint="eastAsia" w:ascii="宋体" w:hAnsi="宋体" w:eastAsia="宋体" w:cs="宋体"/>
              <w:color w:val="auto"/>
              <w:lang w:eastAsia="zh-CN"/>
            </w:rPr>
            <w:fldChar w:fldCharType="separate"/>
          </w:r>
          <w:r>
            <w:rPr>
              <w:rFonts w:hint="eastAsia" w:ascii="宋体" w:hAnsi="宋体" w:eastAsia="宋体" w:cs="宋体"/>
              <w:i w:val="0"/>
              <w:color w:val="auto"/>
              <w:spacing w:val="0"/>
              <w:w w:val="100"/>
              <w:lang w:val="en-US" w:eastAsia="zh-CN"/>
            </w:rPr>
            <w:t xml:space="preserve">附　录　A </w:t>
          </w:r>
          <w:r>
            <w:rPr>
              <w:rFonts w:hint="eastAsia" w:ascii="宋体" w:hAnsi="宋体" w:eastAsia="宋体" w:cs="宋体"/>
              <w:color w:val="auto"/>
              <w:lang w:val="en-US" w:eastAsia="zh-CN"/>
            </w:rPr>
            <w:t xml:space="preserve"> （规范性） 项目人员配置要求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_Toc4851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6D635433">
          <w:pPr>
            <w:pStyle w:val="19"/>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_Toc23242 </w:instrText>
          </w:r>
          <w:r>
            <w:rPr>
              <w:rFonts w:hint="eastAsia" w:ascii="宋体" w:hAnsi="宋体" w:eastAsia="宋体" w:cs="宋体"/>
              <w:color w:val="auto"/>
              <w:lang w:eastAsia="zh-CN"/>
            </w:rPr>
            <w:fldChar w:fldCharType="separate"/>
          </w:r>
          <w:r>
            <w:rPr>
              <w:rFonts w:hint="eastAsia" w:ascii="宋体" w:hAnsi="宋体" w:eastAsia="宋体" w:cs="宋体"/>
              <w:i w:val="0"/>
              <w:color w:val="auto"/>
              <w:spacing w:val="0"/>
              <w:w w:val="100"/>
              <w:lang w:val="en-US" w:eastAsia="zh-CN"/>
            </w:rPr>
            <w:t xml:space="preserve">附　录　B </w:t>
          </w:r>
          <w:r>
            <w:rPr>
              <w:rFonts w:hint="eastAsia" w:ascii="宋体" w:hAnsi="宋体" w:eastAsia="宋体" w:cs="宋体"/>
              <w:color w:val="auto"/>
              <w:lang w:val="en-US" w:eastAsia="zh-CN"/>
            </w:rPr>
            <w:t xml:space="preserve"> （规范性） IP防护等级划分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_Toc23242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728BACDE">
          <w:pPr>
            <w:pStyle w:val="19"/>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_Toc26082 </w:instrText>
          </w:r>
          <w:r>
            <w:rPr>
              <w:rFonts w:hint="eastAsia" w:ascii="宋体" w:hAnsi="宋体" w:eastAsia="宋体" w:cs="宋体"/>
              <w:color w:val="auto"/>
              <w:lang w:eastAsia="zh-CN"/>
            </w:rPr>
            <w:fldChar w:fldCharType="separate"/>
          </w:r>
          <w:r>
            <w:rPr>
              <w:rFonts w:hint="eastAsia" w:ascii="宋体" w:hAnsi="宋体" w:eastAsia="宋体" w:cs="宋体"/>
              <w:i w:val="0"/>
              <w:color w:val="auto"/>
              <w:spacing w:val="0"/>
              <w:w w:val="100"/>
              <w:lang w:val="en-US" w:eastAsia="zh-CN"/>
            </w:rPr>
            <w:t xml:space="preserve">附　录　C </w:t>
          </w:r>
          <w:r>
            <w:rPr>
              <w:rFonts w:hint="eastAsia" w:ascii="宋体" w:hAnsi="宋体" w:eastAsia="宋体" w:cs="宋体"/>
              <w:color w:val="auto"/>
              <w:lang w:val="en-US" w:eastAsia="zh-CN"/>
            </w:rPr>
            <w:t xml:space="preserve"> （规范性） 检查条款危险等级划分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_Toc26082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76A4DFF7">
          <w:pPr>
            <w:pStyle w:val="19"/>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_Toc15987 </w:instrText>
          </w:r>
          <w:r>
            <w:rPr>
              <w:rFonts w:hint="eastAsia" w:ascii="宋体" w:hAnsi="宋体" w:eastAsia="宋体" w:cs="宋体"/>
              <w:color w:val="auto"/>
              <w:lang w:eastAsia="zh-CN"/>
            </w:rPr>
            <w:fldChar w:fldCharType="separate"/>
          </w:r>
          <w:r>
            <w:rPr>
              <w:rFonts w:hint="eastAsia" w:ascii="宋体" w:hAnsi="宋体" w:eastAsia="宋体" w:cs="宋体"/>
              <w:i w:val="0"/>
              <w:color w:val="auto"/>
              <w:spacing w:val="0"/>
              <w:w w:val="100"/>
              <w:lang w:val="en-US" w:eastAsia="zh-CN"/>
            </w:rPr>
            <w:t xml:space="preserve">附　录　D </w:t>
          </w:r>
          <w:r>
            <w:rPr>
              <w:rFonts w:hint="eastAsia" w:ascii="宋体" w:hAnsi="宋体" w:eastAsia="宋体" w:cs="宋体"/>
              <w:color w:val="auto"/>
              <w:lang w:val="en-US" w:eastAsia="zh-CN"/>
            </w:rPr>
            <w:t xml:space="preserve"> （规范性） 特殊场所检测要求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_Toc15987 \h </w:instrText>
          </w:r>
          <w:r>
            <w:rPr>
              <w:rFonts w:hint="eastAsia" w:ascii="宋体" w:hAnsi="宋体" w:eastAsia="宋体" w:cs="宋体"/>
              <w:color w:val="auto"/>
            </w:rPr>
            <w:fldChar w:fldCharType="separate"/>
          </w:r>
          <w:r>
            <w:rPr>
              <w:rFonts w:hint="eastAsia" w:ascii="宋体" w:hAnsi="宋体" w:eastAsia="宋体" w:cs="宋体"/>
              <w:color w:val="auto"/>
            </w:rPr>
            <w:t>24</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099E2D0C">
          <w:pPr>
            <w:pStyle w:val="19"/>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_Toc8738 </w:instrText>
          </w:r>
          <w:r>
            <w:rPr>
              <w:rFonts w:hint="eastAsia" w:ascii="宋体" w:hAnsi="宋体" w:eastAsia="宋体" w:cs="宋体"/>
              <w:color w:val="auto"/>
              <w:lang w:eastAsia="zh-CN"/>
            </w:rPr>
            <w:fldChar w:fldCharType="separate"/>
          </w:r>
          <w:r>
            <w:rPr>
              <w:rFonts w:hint="eastAsia" w:ascii="宋体" w:hAnsi="宋体" w:eastAsia="宋体" w:cs="宋体"/>
              <w:i w:val="0"/>
              <w:color w:val="auto"/>
              <w:spacing w:val="0"/>
              <w:w w:val="100"/>
              <w:lang w:val="en-US" w:eastAsia="zh-CN"/>
            </w:rPr>
            <w:t xml:space="preserve">附　录　E </w:t>
          </w:r>
          <w:r>
            <w:rPr>
              <w:rFonts w:hint="eastAsia" w:ascii="宋体" w:hAnsi="宋体" w:eastAsia="宋体" w:cs="宋体"/>
              <w:color w:val="auto"/>
              <w:lang w:val="en-US" w:eastAsia="zh-CN"/>
            </w:rPr>
            <w:t xml:space="preserve"> （资料性） 检测仪器基本配置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_Toc8738 \h </w:instrText>
          </w:r>
          <w:r>
            <w:rPr>
              <w:rFonts w:hint="eastAsia" w:ascii="宋体" w:hAnsi="宋体" w:eastAsia="宋体" w:cs="宋体"/>
              <w:color w:val="auto"/>
            </w:rPr>
            <w:fldChar w:fldCharType="separate"/>
          </w:r>
          <w:r>
            <w:rPr>
              <w:rFonts w:hint="eastAsia" w:ascii="宋体" w:hAnsi="宋体" w:eastAsia="宋体" w:cs="宋体"/>
              <w:color w:val="auto"/>
            </w:rPr>
            <w:t>27</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211AF2FE">
          <w:pPr>
            <w:pStyle w:val="19"/>
            <w:tabs>
              <w:tab w:val="right" w:leader="dot" w:pos="9355"/>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_Toc24095 </w:instrText>
          </w:r>
          <w:r>
            <w:rPr>
              <w:rFonts w:hint="eastAsia" w:ascii="宋体" w:hAnsi="宋体" w:eastAsia="宋体" w:cs="宋体"/>
              <w:color w:val="auto"/>
              <w:lang w:eastAsia="zh-CN"/>
            </w:rPr>
            <w:fldChar w:fldCharType="separate"/>
          </w:r>
          <w:r>
            <w:rPr>
              <w:rFonts w:hint="eastAsia" w:ascii="宋体" w:hAnsi="宋体" w:eastAsia="宋体" w:cs="宋体"/>
              <w:i w:val="0"/>
              <w:color w:val="auto"/>
              <w:spacing w:val="0"/>
              <w:w w:val="100"/>
              <w:lang w:val="en-US" w:eastAsia="zh-CN"/>
            </w:rPr>
            <w:t xml:space="preserve">附　录　F </w:t>
          </w:r>
          <w:r>
            <w:rPr>
              <w:rFonts w:hint="eastAsia" w:ascii="宋体" w:hAnsi="宋体" w:eastAsia="宋体" w:cs="宋体"/>
              <w:color w:val="auto"/>
              <w:lang w:val="en-US" w:eastAsia="zh-CN"/>
            </w:rPr>
            <w:t xml:space="preserve"> （资料性） 检测报告样式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_Toc24095 \h </w:instrText>
          </w:r>
          <w:r>
            <w:rPr>
              <w:rFonts w:hint="eastAsia" w:ascii="宋体" w:hAnsi="宋体" w:eastAsia="宋体" w:cs="宋体"/>
              <w:color w:val="auto"/>
            </w:rPr>
            <w:fldChar w:fldCharType="separate"/>
          </w:r>
          <w:r>
            <w:rPr>
              <w:rFonts w:hint="eastAsia" w:ascii="宋体" w:hAnsi="宋体" w:eastAsia="宋体" w:cs="宋体"/>
              <w:color w:val="auto"/>
            </w:rPr>
            <w:t>28</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6FADD3DB">
          <w:pPr>
            <w:pStyle w:val="19"/>
            <w:tabs>
              <w:tab w:val="right" w:leader="dot" w:pos="9355"/>
            </w:tabs>
            <w:rPr>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_Toc10108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参  考  文  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_Toc10108 \h </w:instrText>
          </w:r>
          <w:r>
            <w:rPr>
              <w:rFonts w:hint="eastAsia" w:ascii="宋体" w:hAnsi="宋体" w:eastAsia="宋体" w:cs="宋体"/>
              <w:color w:val="auto"/>
            </w:rPr>
            <w:fldChar w:fldCharType="separate"/>
          </w:r>
          <w:r>
            <w:rPr>
              <w:rFonts w:hint="eastAsia" w:ascii="宋体" w:hAnsi="宋体" w:eastAsia="宋体" w:cs="宋体"/>
              <w:color w:val="auto"/>
            </w:rPr>
            <w:t>37</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14:paraId="213F0C5B">
          <w:pPr>
            <w:pStyle w:val="74"/>
            <w:bidi w:val="0"/>
            <w:rPr>
              <w:rFonts w:hint="eastAsia"/>
              <w:color w:val="auto"/>
              <w:lang w:eastAsia="zh-CN"/>
            </w:rPr>
          </w:pPr>
          <w:r>
            <w:rPr>
              <w:rFonts w:hint="eastAsia"/>
              <w:color w:val="auto"/>
              <w:lang w:eastAsia="zh-CN"/>
            </w:rPr>
            <w:fldChar w:fldCharType="end"/>
          </w:r>
        </w:p>
        <w:p w14:paraId="0A65E128">
          <w:pPr>
            <w:pStyle w:val="74"/>
            <w:bidi w:val="0"/>
            <w:rPr>
              <w:rFonts w:hint="eastAsia" w:ascii="宋体" w:hAnsi="宋体" w:eastAsia="宋体" w:cs="宋体"/>
              <w:b w:val="0"/>
              <w:color w:val="auto"/>
              <w:sz w:val="21"/>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TOC \t "正文表标题,1,附录表标题,1" \h \z \c</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_Toc22379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snapToGrid w:val="0"/>
              <w:vanish w:val="0"/>
              <w:color w:val="auto"/>
              <w:kern w:val="0"/>
              <w:sz w:val="21"/>
              <w:szCs w:val="21"/>
              <w:vertAlign w:val="baseline"/>
              <w:lang w:val="en-US" w:eastAsia="zh-CN"/>
              <w14:cntxtalts w14:val="0"/>
            </w:rPr>
            <w:t xml:space="preserve">表1 </w:t>
          </w:r>
          <w:r>
            <w:rPr>
              <w:rFonts w:hint="eastAsia" w:cs="宋体"/>
              <w:b w:val="0"/>
              <w:i w:val="0"/>
              <w:caps w:val="0"/>
              <w:strike w:val="0"/>
              <w:dstrike w:val="0"/>
              <w:snapToGrid w:val="0"/>
              <w:vanish w:val="0"/>
              <w:color w:val="auto"/>
              <w:kern w:val="0"/>
              <w:sz w:val="21"/>
              <w:szCs w:val="21"/>
              <w:vertAlign w:val="baseline"/>
              <w:lang w:val="en-US" w:eastAsia="zh-CN"/>
              <w14:cntxtalts w14:val="0"/>
            </w:rPr>
            <w:t xml:space="preserve"> </w:t>
          </w:r>
          <w:r>
            <w:rPr>
              <w:rFonts w:hint="eastAsia" w:ascii="宋体" w:hAnsi="宋体" w:eastAsia="宋体" w:cs="宋体"/>
              <w:b w:val="0"/>
              <w:color w:val="auto"/>
              <w:sz w:val="21"/>
              <w:lang w:val="en-US" w:eastAsia="zh-CN"/>
            </w:rPr>
            <w:t>干式电力变压器温度限值</w:t>
          </w:r>
          <w:r>
            <w:rPr>
              <w:rFonts w:hint="eastAsia" w:ascii="宋体" w:hAnsi="宋体" w:eastAsia="宋体" w:cs="宋体"/>
              <w:b w:val="0"/>
              <w:color w:val="auto"/>
              <w:sz w:val="21"/>
            </w:rPr>
            <w:tab/>
          </w:r>
          <w:r>
            <w:rPr>
              <w:rFonts w:hint="eastAsia" w:cs="宋体"/>
              <w:b w:val="0"/>
              <w:color w:val="auto"/>
              <w:sz w:val="21"/>
              <w:lang w:val="en-US" w:eastAsia="zh-CN"/>
            </w:rPr>
            <w:t>............................................................</w:t>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_Toc22379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4</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66E04B82">
          <w:pPr>
            <w:pStyle w:val="74"/>
            <w:tabs>
              <w:tab w:val="right" w:leader="dot" w:pos="9355"/>
            </w:tabs>
            <w:rPr>
              <w:rFonts w:hint="eastAsia" w:ascii="宋体" w:hAnsi="宋体" w:eastAsia="宋体" w:cs="宋体"/>
              <w:b w:val="0"/>
              <w:color w:val="auto"/>
              <w:sz w:val="21"/>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_Toc10773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snapToGrid w:val="0"/>
              <w:vanish w:val="0"/>
              <w:color w:val="auto"/>
              <w:kern w:val="0"/>
              <w:sz w:val="21"/>
              <w:szCs w:val="21"/>
              <w:vertAlign w:val="baseline"/>
              <w:lang w:val="en-US" w:eastAsia="zh-CN"/>
              <w14:cntxtalts w14:val="0"/>
            </w:rPr>
            <w:t xml:space="preserve">表2 </w:t>
          </w:r>
          <w:r>
            <w:rPr>
              <w:rFonts w:hint="eastAsia" w:cs="宋体"/>
              <w:b w:val="0"/>
              <w:i w:val="0"/>
              <w:caps w:val="0"/>
              <w:strike w:val="0"/>
              <w:dstrike w:val="0"/>
              <w:snapToGrid w:val="0"/>
              <w:vanish w:val="0"/>
              <w:color w:val="auto"/>
              <w:kern w:val="0"/>
              <w:sz w:val="21"/>
              <w:szCs w:val="21"/>
              <w:vertAlign w:val="baseline"/>
              <w:lang w:val="en-US" w:eastAsia="zh-CN"/>
              <w14:cntxtalts w14:val="0"/>
            </w:rPr>
            <w:t xml:space="preserve"> </w:t>
          </w:r>
          <w:r>
            <w:rPr>
              <w:rFonts w:hint="eastAsia" w:ascii="宋体" w:hAnsi="宋体" w:eastAsia="宋体" w:cs="宋体"/>
              <w:b w:val="0"/>
              <w:color w:val="auto"/>
              <w:sz w:val="21"/>
              <w:lang w:val="en-US" w:eastAsia="zh-CN"/>
            </w:rPr>
            <w:t>交流高压电器触头及导体连接端子在空气中最高允许温度</w:t>
          </w:r>
          <w:r>
            <w:rPr>
              <w:rFonts w:hint="eastAsia" w:ascii="宋体" w:hAnsi="宋体" w:eastAsia="宋体" w:cs="宋体"/>
              <w:b w:val="0"/>
              <w:color w:val="auto"/>
              <w:sz w:val="21"/>
            </w:rPr>
            <w:tab/>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_Toc10773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4</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3246F13A">
          <w:pPr>
            <w:pStyle w:val="74"/>
            <w:tabs>
              <w:tab w:val="right" w:leader="dot" w:pos="9355"/>
            </w:tabs>
            <w:rPr>
              <w:rFonts w:hint="eastAsia" w:ascii="宋体" w:hAnsi="宋体" w:eastAsia="宋体" w:cs="宋体"/>
              <w:b w:val="0"/>
              <w:color w:val="auto"/>
              <w:sz w:val="21"/>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_Toc16426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snapToGrid w:val="0"/>
              <w:vanish w:val="0"/>
              <w:color w:val="auto"/>
              <w:kern w:val="0"/>
              <w:sz w:val="21"/>
              <w:szCs w:val="21"/>
              <w:vertAlign w:val="baseline"/>
              <w:lang w:val="en-US" w:eastAsia="zh-CN"/>
              <w14:cntxtalts w14:val="0"/>
            </w:rPr>
            <w:t xml:space="preserve">表3 </w:t>
          </w:r>
          <w:r>
            <w:rPr>
              <w:rFonts w:hint="eastAsia" w:cs="宋体"/>
              <w:b w:val="0"/>
              <w:i w:val="0"/>
              <w:caps w:val="0"/>
              <w:strike w:val="0"/>
              <w:dstrike w:val="0"/>
              <w:snapToGrid w:val="0"/>
              <w:vanish w:val="0"/>
              <w:color w:val="auto"/>
              <w:kern w:val="0"/>
              <w:sz w:val="21"/>
              <w:szCs w:val="21"/>
              <w:vertAlign w:val="baseline"/>
              <w:lang w:val="en-US" w:eastAsia="zh-CN"/>
              <w14:cntxtalts w14:val="0"/>
            </w:rPr>
            <w:t xml:space="preserve"> </w:t>
          </w:r>
          <w:r>
            <w:rPr>
              <w:rFonts w:hint="eastAsia" w:ascii="宋体" w:hAnsi="宋体" w:eastAsia="宋体" w:cs="宋体"/>
              <w:b w:val="0"/>
              <w:color w:val="auto"/>
              <w:sz w:val="21"/>
              <w:lang w:val="en-US" w:eastAsia="zh-CN"/>
            </w:rPr>
            <w:t>低压电器与外部连接的接线端子的允许温升</w:t>
          </w:r>
          <w:r>
            <w:rPr>
              <w:rFonts w:hint="eastAsia" w:ascii="宋体" w:hAnsi="宋体" w:eastAsia="宋体" w:cs="宋体"/>
              <w:b w:val="0"/>
              <w:color w:val="auto"/>
              <w:sz w:val="21"/>
            </w:rPr>
            <w:tab/>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_Toc16426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4</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7C2F3160">
          <w:pPr>
            <w:pStyle w:val="74"/>
            <w:tabs>
              <w:tab w:val="right" w:leader="dot" w:pos="9355"/>
            </w:tabs>
            <w:rPr>
              <w:rFonts w:hint="eastAsia" w:ascii="宋体" w:hAnsi="宋体" w:eastAsia="宋体" w:cs="宋体"/>
              <w:b w:val="0"/>
              <w:color w:val="auto"/>
              <w:sz w:val="21"/>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_Toc31842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snapToGrid w:val="0"/>
              <w:vanish w:val="0"/>
              <w:color w:val="auto"/>
              <w:kern w:val="0"/>
              <w:sz w:val="21"/>
              <w:szCs w:val="21"/>
              <w:vertAlign w:val="baseline"/>
              <w:lang w:val="en-US" w:eastAsia="zh-CN"/>
              <w14:cntxtalts w14:val="0"/>
            </w:rPr>
            <w:t xml:space="preserve">表4 </w:t>
          </w:r>
          <w:r>
            <w:rPr>
              <w:rFonts w:hint="eastAsia" w:cs="宋体"/>
              <w:b w:val="0"/>
              <w:i w:val="0"/>
              <w:caps w:val="0"/>
              <w:strike w:val="0"/>
              <w:dstrike w:val="0"/>
              <w:snapToGrid w:val="0"/>
              <w:vanish w:val="0"/>
              <w:color w:val="auto"/>
              <w:kern w:val="0"/>
              <w:sz w:val="21"/>
              <w:szCs w:val="21"/>
              <w:vertAlign w:val="baseline"/>
              <w:lang w:val="en-US" w:eastAsia="zh-CN"/>
              <w14:cntxtalts w14:val="0"/>
            </w:rPr>
            <w:t xml:space="preserve"> </w:t>
          </w:r>
          <w:r>
            <w:rPr>
              <w:rFonts w:hint="eastAsia" w:ascii="宋体" w:hAnsi="宋体" w:eastAsia="宋体" w:cs="宋体"/>
              <w:b w:val="0"/>
              <w:color w:val="auto"/>
              <w:sz w:val="21"/>
              <w:lang w:val="en-US" w:eastAsia="zh-CN"/>
            </w:rPr>
            <w:t>电力电缆最高允许温度和表面允许温升值</w:t>
          </w:r>
          <w:r>
            <w:rPr>
              <w:rFonts w:hint="eastAsia" w:ascii="宋体" w:hAnsi="宋体" w:eastAsia="宋体" w:cs="宋体"/>
              <w:b w:val="0"/>
              <w:color w:val="auto"/>
              <w:sz w:val="21"/>
            </w:rPr>
            <w:tab/>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_Toc31842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6</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5E8F44B3">
          <w:pPr>
            <w:pStyle w:val="74"/>
            <w:tabs>
              <w:tab w:val="right" w:leader="dot" w:pos="9355"/>
            </w:tabs>
            <w:rPr>
              <w:rFonts w:hint="eastAsia" w:ascii="宋体" w:hAnsi="宋体" w:eastAsia="宋体" w:cs="宋体"/>
              <w:b w:val="0"/>
              <w:color w:val="auto"/>
              <w:sz w:val="21"/>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_Toc4671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snapToGrid w:val="0"/>
              <w:vanish w:val="0"/>
              <w:color w:val="auto"/>
              <w:kern w:val="0"/>
              <w:sz w:val="21"/>
              <w:szCs w:val="21"/>
              <w:vertAlign w:val="baseline"/>
              <w:lang w:val="en-US" w:eastAsia="zh-CN"/>
              <w14:cntxtalts w14:val="0"/>
            </w:rPr>
            <w:t xml:space="preserve">表5 </w:t>
          </w:r>
          <w:r>
            <w:rPr>
              <w:rFonts w:hint="eastAsia" w:cs="宋体"/>
              <w:b w:val="0"/>
              <w:i w:val="0"/>
              <w:caps w:val="0"/>
              <w:strike w:val="0"/>
              <w:dstrike w:val="0"/>
              <w:snapToGrid w:val="0"/>
              <w:vanish w:val="0"/>
              <w:color w:val="auto"/>
              <w:kern w:val="0"/>
              <w:sz w:val="21"/>
              <w:szCs w:val="21"/>
              <w:vertAlign w:val="baseline"/>
              <w:lang w:val="en-US" w:eastAsia="zh-CN"/>
              <w14:cntxtalts w14:val="0"/>
            </w:rPr>
            <w:t xml:space="preserve"> </w:t>
          </w:r>
          <w:r>
            <w:rPr>
              <w:rFonts w:hint="eastAsia" w:ascii="宋体" w:hAnsi="宋体" w:eastAsia="宋体" w:cs="宋体"/>
              <w:b w:val="0"/>
              <w:color w:val="auto"/>
              <w:sz w:val="21"/>
              <w:lang w:val="en-US" w:eastAsia="zh-CN"/>
            </w:rPr>
            <w:t>照明灯具与可燃物之间的安全距离</w:t>
          </w:r>
          <w:r>
            <w:rPr>
              <w:rFonts w:hint="eastAsia" w:ascii="宋体" w:hAnsi="宋体" w:eastAsia="宋体" w:cs="宋体"/>
              <w:b w:val="0"/>
              <w:color w:val="auto"/>
              <w:sz w:val="21"/>
            </w:rPr>
            <w:tab/>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_Toc4671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9</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0BD255F0">
          <w:pPr>
            <w:pStyle w:val="74"/>
            <w:tabs>
              <w:tab w:val="right" w:leader="dot" w:pos="9355"/>
            </w:tabs>
            <w:rPr>
              <w:rFonts w:hint="eastAsia" w:ascii="宋体" w:hAnsi="宋体" w:eastAsia="宋体" w:cs="宋体"/>
              <w:b w:val="0"/>
              <w:color w:val="auto"/>
              <w:sz w:val="21"/>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_Toc24392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snapToGrid w:val="0"/>
              <w:vanish w:val="0"/>
              <w:color w:val="auto"/>
              <w:kern w:val="0"/>
              <w:sz w:val="21"/>
              <w:szCs w:val="21"/>
              <w:vertAlign w:val="baseline"/>
              <w:lang w:val="en-US" w:eastAsia="zh-CN"/>
              <w14:cntxtalts w14:val="0"/>
            </w:rPr>
            <w:t xml:space="preserve">表6 </w:t>
          </w:r>
          <w:r>
            <w:rPr>
              <w:rFonts w:hint="eastAsia" w:cs="宋体"/>
              <w:b w:val="0"/>
              <w:i w:val="0"/>
              <w:caps w:val="0"/>
              <w:strike w:val="0"/>
              <w:dstrike w:val="0"/>
              <w:snapToGrid w:val="0"/>
              <w:vanish w:val="0"/>
              <w:color w:val="auto"/>
              <w:kern w:val="0"/>
              <w:sz w:val="21"/>
              <w:szCs w:val="21"/>
              <w:vertAlign w:val="baseline"/>
              <w:lang w:val="en-US" w:eastAsia="zh-CN"/>
              <w14:cntxtalts w14:val="0"/>
            </w:rPr>
            <w:t xml:space="preserve"> </w:t>
          </w:r>
          <w:r>
            <w:rPr>
              <w:rFonts w:hint="eastAsia" w:ascii="宋体" w:hAnsi="宋体" w:eastAsia="宋体" w:cs="宋体"/>
              <w:b w:val="0"/>
              <w:color w:val="auto"/>
              <w:sz w:val="21"/>
              <w:lang w:val="en-US" w:eastAsia="zh-CN"/>
            </w:rPr>
            <w:t>交流低压母线各部位的允许温升</w:t>
          </w:r>
          <w:r>
            <w:rPr>
              <w:rFonts w:hint="eastAsia" w:ascii="宋体" w:hAnsi="宋体" w:eastAsia="宋体" w:cs="宋体"/>
              <w:b w:val="0"/>
              <w:color w:val="auto"/>
              <w:sz w:val="21"/>
            </w:rPr>
            <w:tab/>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_Toc24392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11</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637EC9DF">
          <w:pPr>
            <w:pStyle w:val="74"/>
            <w:tabs>
              <w:tab w:val="right" w:leader="dot" w:pos="9355"/>
            </w:tabs>
            <w:rPr>
              <w:rFonts w:hint="eastAsia" w:ascii="宋体" w:hAnsi="宋体" w:eastAsia="宋体" w:cs="宋体"/>
              <w:b w:val="0"/>
              <w:color w:val="auto"/>
              <w:sz w:val="21"/>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_Toc16833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snapToGrid w:val="0"/>
              <w:vanish w:val="0"/>
              <w:color w:val="auto"/>
              <w:kern w:val="0"/>
              <w:sz w:val="21"/>
              <w:szCs w:val="21"/>
              <w:vertAlign w:val="baseline"/>
              <w:lang w:val="en-US" w:eastAsia="zh-CN"/>
              <w14:cntxtalts w14:val="0"/>
            </w:rPr>
            <w:t xml:space="preserve">表7 </w:t>
          </w:r>
          <w:r>
            <w:rPr>
              <w:rFonts w:hint="eastAsia" w:cs="宋体"/>
              <w:b w:val="0"/>
              <w:i w:val="0"/>
              <w:caps w:val="0"/>
              <w:strike w:val="0"/>
              <w:dstrike w:val="0"/>
              <w:snapToGrid w:val="0"/>
              <w:vanish w:val="0"/>
              <w:color w:val="auto"/>
              <w:kern w:val="0"/>
              <w:sz w:val="21"/>
              <w:szCs w:val="21"/>
              <w:vertAlign w:val="baseline"/>
              <w:lang w:val="en-US" w:eastAsia="zh-CN"/>
              <w14:cntxtalts w14:val="0"/>
            </w:rPr>
            <w:t xml:space="preserve"> </w:t>
          </w:r>
          <w:r>
            <w:rPr>
              <w:rFonts w:hint="eastAsia" w:ascii="宋体" w:hAnsi="宋体" w:eastAsia="宋体" w:cs="宋体"/>
              <w:b w:val="0"/>
              <w:color w:val="auto"/>
              <w:sz w:val="21"/>
              <w:lang w:val="en-US" w:eastAsia="zh-CN"/>
            </w:rPr>
            <w:t>相导体截面积与保护导体的最小截面对应关系</w:t>
          </w:r>
          <w:r>
            <w:rPr>
              <w:rFonts w:hint="eastAsia" w:ascii="宋体" w:hAnsi="宋体" w:eastAsia="宋体" w:cs="宋体"/>
              <w:b w:val="0"/>
              <w:color w:val="auto"/>
              <w:sz w:val="21"/>
            </w:rPr>
            <w:tab/>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_Toc16833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13</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002A3516">
          <w:pPr>
            <w:pStyle w:val="74"/>
            <w:tabs>
              <w:tab w:val="right" w:leader="dot" w:pos="9355"/>
            </w:tabs>
            <w:rPr>
              <w:rFonts w:hint="eastAsia" w:ascii="宋体" w:hAnsi="宋体" w:eastAsia="宋体" w:cs="宋体"/>
              <w:b w:val="0"/>
              <w:color w:val="auto"/>
              <w:sz w:val="21"/>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_Toc8900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snapToGrid w:val="0"/>
              <w:vanish w:val="0"/>
              <w:color w:val="auto"/>
              <w:spacing w:val="8"/>
              <w:kern w:val="0"/>
              <w:sz w:val="21"/>
              <w:szCs w:val="21"/>
              <w:vertAlign w:val="baseline"/>
              <w:lang w:val="en-US" w:eastAsia="zh-CN"/>
              <w14:cntxtalts w14:val="0"/>
            </w:rPr>
            <w:t>表</w:t>
          </w:r>
          <w:r>
            <w:rPr>
              <w:rFonts w:hint="eastAsia" w:cs="宋体"/>
              <w:b w:val="0"/>
              <w:i w:val="0"/>
              <w:caps w:val="0"/>
              <w:strike w:val="0"/>
              <w:dstrike w:val="0"/>
              <w:snapToGrid w:val="0"/>
              <w:vanish w:val="0"/>
              <w:color w:val="auto"/>
              <w:spacing w:val="8"/>
              <w:kern w:val="0"/>
              <w:sz w:val="21"/>
              <w:szCs w:val="21"/>
              <w:vertAlign w:val="baseline"/>
              <w:lang w:val="en-US" w:eastAsia="zh-CN"/>
              <w14:cntxtalts w14:val="0"/>
            </w:rPr>
            <w:t>8</w:t>
          </w:r>
          <w:r>
            <w:rPr>
              <w:rFonts w:hint="eastAsia" w:ascii="宋体" w:hAnsi="宋体" w:eastAsia="宋体" w:cs="宋体"/>
              <w:b w:val="0"/>
              <w:i w:val="0"/>
              <w:caps w:val="0"/>
              <w:strike w:val="0"/>
              <w:dstrike w:val="0"/>
              <w:snapToGrid w:val="0"/>
              <w:vanish w:val="0"/>
              <w:color w:val="auto"/>
              <w:spacing w:val="8"/>
              <w:kern w:val="0"/>
              <w:sz w:val="21"/>
              <w:szCs w:val="21"/>
              <w:vertAlign w:val="baseline"/>
              <w:lang w:val="en-US" w:eastAsia="zh-CN"/>
              <w14:cntxtalts w14:val="0"/>
            </w:rPr>
            <w:t xml:space="preserve"> </w:t>
          </w:r>
          <w:r>
            <w:rPr>
              <w:rFonts w:hint="eastAsia" w:cs="宋体"/>
              <w:b w:val="0"/>
              <w:i w:val="0"/>
              <w:caps w:val="0"/>
              <w:strike w:val="0"/>
              <w:dstrike w:val="0"/>
              <w:snapToGrid w:val="0"/>
              <w:vanish w:val="0"/>
              <w:color w:val="auto"/>
              <w:spacing w:val="8"/>
              <w:kern w:val="0"/>
              <w:sz w:val="21"/>
              <w:szCs w:val="21"/>
              <w:vertAlign w:val="baseline"/>
              <w:lang w:val="en-US" w:eastAsia="zh-CN"/>
              <w14:cntxtalts w14:val="0"/>
            </w:rPr>
            <w:t xml:space="preserve"> </w:t>
          </w:r>
          <w:r>
            <w:rPr>
              <w:rFonts w:hint="eastAsia" w:ascii="宋体" w:hAnsi="宋体" w:eastAsia="宋体" w:cs="宋体"/>
              <w:b w:val="0"/>
              <w:color w:val="auto"/>
              <w:sz w:val="21"/>
              <w:lang w:val="en-US" w:eastAsia="zh-CN"/>
            </w:rPr>
            <w:t>技术要点项、子项、单项分类</w:t>
          </w:r>
          <w:r>
            <w:rPr>
              <w:rFonts w:hint="eastAsia" w:ascii="宋体" w:hAnsi="宋体" w:eastAsia="宋体" w:cs="宋体"/>
              <w:b w:val="0"/>
              <w:color w:val="auto"/>
              <w:sz w:val="21"/>
            </w:rPr>
            <w:tab/>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_Toc8900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17</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5E1A2B9D">
          <w:pPr>
            <w:pStyle w:val="74"/>
            <w:tabs>
              <w:tab w:val="right" w:leader="dot" w:pos="9355"/>
            </w:tabs>
            <w:rPr>
              <w:rFonts w:hint="eastAsia" w:ascii="宋体" w:hAnsi="宋体" w:eastAsia="宋体" w:cs="宋体"/>
              <w:b w:val="0"/>
              <w:color w:val="auto"/>
              <w:sz w:val="21"/>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_Toc10053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vanish w:val="0"/>
              <w:color w:val="auto"/>
              <w:sz w:val="21"/>
              <w:lang w:val="en-US" w:eastAsia="zh-CN"/>
            </w:rPr>
            <w:t xml:space="preserve">表A.1 </w:t>
          </w:r>
          <w:r>
            <w:rPr>
              <w:rFonts w:hint="eastAsia" w:cs="宋体"/>
              <w:b w:val="0"/>
              <w:i w:val="0"/>
              <w:caps w:val="0"/>
              <w:strike w:val="0"/>
              <w:dstrike w:val="0"/>
              <w:vanish w:val="0"/>
              <w:color w:val="auto"/>
              <w:sz w:val="21"/>
              <w:lang w:val="en-US" w:eastAsia="zh-CN"/>
            </w:rPr>
            <w:t xml:space="preserve"> 项目人员配置要求</w:t>
          </w:r>
          <w:r>
            <w:rPr>
              <w:rFonts w:hint="eastAsia" w:ascii="宋体" w:hAnsi="宋体" w:eastAsia="宋体" w:cs="宋体"/>
              <w:b w:val="0"/>
              <w:color w:val="auto"/>
              <w:sz w:val="21"/>
              <w:lang w:val="en-US" w:eastAsia="zh-CN"/>
            </w:rPr>
            <w:t>表</w:t>
          </w:r>
          <w:r>
            <w:rPr>
              <w:rFonts w:hint="eastAsia" w:ascii="宋体" w:hAnsi="宋体" w:eastAsia="宋体" w:cs="宋体"/>
              <w:b w:val="0"/>
              <w:color w:val="auto"/>
              <w:sz w:val="21"/>
            </w:rPr>
            <w:tab/>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_Toc10053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2</w:t>
          </w:r>
          <w:r>
            <w:rPr>
              <w:rFonts w:hint="eastAsia" w:cs="宋体"/>
              <w:b w:val="0"/>
              <w:color w:val="auto"/>
              <w:sz w:val="21"/>
              <w:lang w:val="en-US" w:eastAsia="zh-CN"/>
            </w:rPr>
            <w:t>0</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40EA8FB9">
          <w:pPr>
            <w:pStyle w:val="74"/>
            <w:tabs>
              <w:tab w:val="right" w:leader="dot" w:pos="9355"/>
            </w:tabs>
            <w:rPr>
              <w:rFonts w:hint="eastAsia" w:ascii="宋体" w:hAnsi="宋体" w:eastAsia="宋体" w:cs="宋体"/>
              <w:b w:val="0"/>
              <w:color w:val="auto"/>
              <w:sz w:val="21"/>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_Toc870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vanish w:val="0"/>
              <w:color w:val="auto"/>
              <w:sz w:val="21"/>
            </w:rPr>
            <w:t xml:space="preserve">表B.1 </w:t>
          </w:r>
          <w:r>
            <w:rPr>
              <w:rFonts w:hint="eastAsia" w:cs="宋体"/>
              <w:b w:val="0"/>
              <w:i w:val="0"/>
              <w:caps w:val="0"/>
              <w:strike w:val="0"/>
              <w:dstrike w:val="0"/>
              <w:vanish w:val="0"/>
              <w:color w:val="auto"/>
              <w:sz w:val="21"/>
              <w:lang w:val="en-US" w:eastAsia="zh-CN"/>
            </w:rPr>
            <w:t xml:space="preserve"> </w:t>
          </w:r>
          <w:r>
            <w:rPr>
              <w:rFonts w:hint="eastAsia" w:ascii="宋体" w:hAnsi="宋体" w:eastAsia="宋体" w:cs="宋体"/>
              <w:b w:val="0"/>
              <w:color w:val="auto"/>
              <w:sz w:val="21"/>
            </w:rPr>
            <w:t>防固体异物进入（第一位数字）</w:t>
          </w:r>
          <w:r>
            <w:rPr>
              <w:rFonts w:hint="eastAsia" w:ascii="宋体" w:hAnsi="宋体" w:eastAsia="宋体" w:cs="宋体"/>
              <w:b w:val="0"/>
              <w:color w:val="auto"/>
              <w:sz w:val="21"/>
            </w:rPr>
            <w:tab/>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_Toc870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21</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108697C0">
          <w:pPr>
            <w:pStyle w:val="74"/>
            <w:tabs>
              <w:tab w:val="right" w:leader="dot" w:pos="9355"/>
            </w:tabs>
            <w:rPr>
              <w:rFonts w:hint="eastAsia" w:ascii="宋体" w:hAnsi="宋体" w:eastAsia="宋体" w:cs="宋体"/>
              <w:b w:val="0"/>
              <w:color w:val="auto"/>
              <w:sz w:val="21"/>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_Toc30925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vanish w:val="0"/>
              <w:color w:val="auto"/>
              <w:sz w:val="21"/>
            </w:rPr>
            <w:t xml:space="preserve">表B.2 </w:t>
          </w:r>
          <w:r>
            <w:rPr>
              <w:rFonts w:hint="eastAsia" w:cs="宋体"/>
              <w:b w:val="0"/>
              <w:i w:val="0"/>
              <w:caps w:val="0"/>
              <w:strike w:val="0"/>
              <w:dstrike w:val="0"/>
              <w:vanish w:val="0"/>
              <w:color w:val="auto"/>
              <w:sz w:val="21"/>
              <w:lang w:val="en-US" w:eastAsia="zh-CN"/>
            </w:rPr>
            <w:t xml:space="preserve"> </w:t>
          </w:r>
          <w:r>
            <w:rPr>
              <w:rFonts w:hint="eastAsia" w:ascii="宋体" w:hAnsi="宋体" w:eastAsia="宋体" w:cs="宋体"/>
              <w:b w:val="0"/>
              <w:color w:val="auto"/>
              <w:sz w:val="21"/>
            </w:rPr>
            <w:t>防水进入（第二位数字）</w:t>
          </w:r>
          <w:r>
            <w:rPr>
              <w:rFonts w:hint="eastAsia" w:ascii="宋体" w:hAnsi="宋体" w:eastAsia="宋体" w:cs="宋体"/>
              <w:b w:val="0"/>
              <w:color w:val="auto"/>
              <w:sz w:val="21"/>
            </w:rPr>
            <w:tab/>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_Toc30925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21</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42DA2AEB">
          <w:pPr>
            <w:pStyle w:val="74"/>
            <w:tabs>
              <w:tab w:val="right" w:leader="dot" w:pos="9355"/>
            </w:tabs>
            <w:rPr>
              <w:rFonts w:hint="eastAsia" w:ascii="宋体" w:hAnsi="宋体" w:eastAsia="宋体" w:cs="宋体"/>
              <w:b w:val="0"/>
              <w:color w:val="auto"/>
              <w:sz w:val="21"/>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_Toc26409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vanish w:val="0"/>
              <w:color w:val="auto"/>
              <w:sz w:val="21"/>
              <w:lang w:val="en-US" w:eastAsia="zh-CN"/>
            </w:rPr>
            <w:t xml:space="preserve">表C.1 </w:t>
          </w:r>
          <w:r>
            <w:rPr>
              <w:rFonts w:hint="eastAsia" w:cs="宋体"/>
              <w:b w:val="0"/>
              <w:i w:val="0"/>
              <w:caps w:val="0"/>
              <w:strike w:val="0"/>
              <w:dstrike w:val="0"/>
              <w:vanish w:val="0"/>
              <w:color w:val="auto"/>
              <w:sz w:val="21"/>
              <w:lang w:val="en-US" w:eastAsia="zh-CN"/>
            </w:rPr>
            <w:t xml:space="preserve"> </w:t>
          </w:r>
          <w:r>
            <w:rPr>
              <w:color w:val="auto"/>
              <w:lang w:val="en-US" w:eastAsia="zh-CN"/>
            </w:rPr>
            <w:t>直观检查条款危险等级划分表</w:t>
          </w:r>
          <w:r>
            <w:rPr>
              <w:rFonts w:hint="eastAsia" w:ascii="宋体" w:hAnsi="宋体" w:eastAsia="宋体" w:cs="宋体"/>
              <w:b w:val="0"/>
              <w:color w:val="auto"/>
              <w:sz w:val="21"/>
            </w:rPr>
            <w:tab/>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_Toc26409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2</w:t>
          </w:r>
          <w:r>
            <w:rPr>
              <w:rFonts w:hint="eastAsia" w:cs="宋体"/>
              <w:b w:val="0"/>
              <w:color w:val="auto"/>
              <w:sz w:val="21"/>
              <w:lang w:val="en-US" w:eastAsia="zh-CN"/>
            </w:rPr>
            <w:t>2</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2C987C19">
          <w:pPr>
            <w:pStyle w:val="74"/>
            <w:tabs>
              <w:tab w:val="right" w:leader="dot" w:pos="9355"/>
            </w:tabs>
            <w:rPr>
              <w:rFonts w:hint="eastAsia" w:ascii="宋体" w:hAnsi="宋体" w:eastAsia="宋体" w:cs="宋体"/>
              <w:b w:val="0"/>
              <w:color w:val="auto"/>
              <w:sz w:val="21"/>
              <w:lang w:eastAsia="zh-CN"/>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_Toc11408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vanish w:val="0"/>
              <w:color w:val="auto"/>
              <w:sz w:val="21"/>
              <w:lang w:val="en-US" w:eastAsia="zh-CN"/>
            </w:rPr>
            <w:t>表</w:t>
          </w:r>
          <w:r>
            <w:rPr>
              <w:rFonts w:hint="eastAsia" w:cs="宋体"/>
              <w:b w:val="0"/>
              <w:i w:val="0"/>
              <w:caps w:val="0"/>
              <w:strike w:val="0"/>
              <w:dstrike w:val="0"/>
              <w:vanish w:val="0"/>
              <w:color w:val="auto"/>
              <w:sz w:val="21"/>
              <w:lang w:val="en-US" w:eastAsia="zh-CN"/>
            </w:rPr>
            <w:t>C</w:t>
          </w:r>
          <w:r>
            <w:rPr>
              <w:rFonts w:hint="eastAsia" w:ascii="宋体" w:hAnsi="宋体" w:eastAsia="宋体" w:cs="宋体"/>
              <w:b w:val="0"/>
              <w:i w:val="0"/>
              <w:caps w:val="0"/>
              <w:strike w:val="0"/>
              <w:dstrike w:val="0"/>
              <w:vanish w:val="0"/>
              <w:color w:val="auto"/>
              <w:sz w:val="21"/>
              <w:lang w:val="en-US" w:eastAsia="zh-CN"/>
            </w:rPr>
            <w:t>.</w:t>
          </w:r>
          <w:r>
            <w:rPr>
              <w:rFonts w:hint="eastAsia" w:cs="宋体"/>
              <w:b w:val="0"/>
              <w:i w:val="0"/>
              <w:caps w:val="0"/>
              <w:strike w:val="0"/>
              <w:dstrike w:val="0"/>
              <w:vanish w:val="0"/>
              <w:color w:val="auto"/>
              <w:sz w:val="21"/>
              <w:lang w:val="en-US" w:eastAsia="zh-CN"/>
            </w:rPr>
            <w:t>2</w:t>
          </w:r>
          <w:r>
            <w:rPr>
              <w:rFonts w:hint="eastAsia" w:ascii="宋体" w:hAnsi="宋体" w:eastAsia="宋体" w:cs="宋体"/>
              <w:b w:val="0"/>
              <w:i w:val="0"/>
              <w:caps w:val="0"/>
              <w:strike w:val="0"/>
              <w:dstrike w:val="0"/>
              <w:vanish w:val="0"/>
              <w:color w:val="auto"/>
              <w:sz w:val="21"/>
              <w:lang w:val="en-US" w:eastAsia="zh-CN"/>
            </w:rPr>
            <w:t xml:space="preserve"> </w:t>
          </w:r>
          <w:r>
            <w:rPr>
              <w:rFonts w:hint="eastAsia" w:cs="宋体"/>
              <w:b w:val="0"/>
              <w:i w:val="0"/>
              <w:caps w:val="0"/>
              <w:strike w:val="0"/>
              <w:dstrike w:val="0"/>
              <w:vanish w:val="0"/>
              <w:color w:val="auto"/>
              <w:sz w:val="21"/>
              <w:lang w:val="en-US" w:eastAsia="zh-CN"/>
            </w:rPr>
            <w:t xml:space="preserve"> </w:t>
          </w:r>
          <w:r>
            <w:rPr>
              <w:rFonts w:hint="eastAsia"/>
              <w:color w:val="auto"/>
              <w:lang w:val="en-US" w:eastAsia="zh-CN"/>
            </w:rPr>
            <w:t>仪器检测条款电气火灾危险性分级标准</w:t>
          </w:r>
          <w:r>
            <w:rPr>
              <w:rFonts w:hint="eastAsia" w:ascii="宋体" w:hAnsi="宋体" w:eastAsia="宋体" w:cs="宋体"/>
              <w:b w:val="0"/>
              <w:color w:val="auto"/>
              <w:sz w:val="21"/>
            </w:rPr>
            <w:tab/>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_Toc11408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2</w:t>
          </w:r>
          <w:r>
            <w:rPr>
              <w:rFonts w:hint="eastAsia" w:cs="宋体"/>
              <w:b w:val="0"/>
              <w:color w:val="auto"/>
              <w:sz w:val="21"/>
              <w:lang w:val="en-US" w:eastAsia="zh-CN"/>
            </w:rPr>
            <w:t>3</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7590B44A">
          <w:pPr>
            <w:pStyle w:val="74"/>
            <w:tabs>
              <w:tab w:val="right" w:leader="dot" w:pos="9355"/>
            </w:tabs>
            <w:rPr>
              <w:rFonts w:hint="eastAsia" w:ascii="宋体" w:hAnsi="宋体" w:eastAsia="宋体" w:cs="宋体"/>
              <w:b w:val="0"/>
              <w:color w:val="auto"/>
              <w:sz w:val="21"/>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_Toc30294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vanish w:val="0"/>
              <w:color w:val="auto"/>
              <w:sz w:val="21"/>
              <w:lang w:val="en-US" w:eastAsia="zh-CN"/>
            </w:rPr>
            <w:t>表</w:t>
          </w:r>
          <w:r>
            <w:rPr>
              <w:rFonts w:hint="eastAsia" w:ascii="宋体" w:hAnsi="宋体" w:cs="宋体"/>
              <w:b w:val="0"/>
              <w:i w:val="0"/>
              <w:caps w:val="0"/>
              <w:strike w:val="0"/>
              <w:dstrike w:val="0"/>
              <w:vanish w:val="0"/>
              <w:color w:val="auto"/>
              <w:kern w:val="2"/>
              <w:sz w:val="21"/>
              <w:szCs w:val="24"/>
              <w:lang w:val="en-US" w:eastAsia="zh-CN" w:bidi="ar-SA"/>
            </w:rPr>
            <w:t>D</w:t>
          </w:r>
          <w:r>
            <w:rPr>
              <w:rFonts w:hint="eastAsia" w:ascii="宋体" w:hAnsi="宋体" w:eastAsia="宋体" w:cs="宋体"/>
              <w:b w:val="0"/>
              <w:i w:val="0"/>
              <w:caps w:val="0"/>
              <w:strike w:val="0"/>
              <w:dstrike w:val="0"/>
              <w:vanish w:val="0"/>
              <w:color w:val="auto"/>
              <w:kern w:val="2"/>
              <w:sz w:val="21"/>
              <w:szCs w:val="24"/>
              <w:lang w:val="en-US" w:eastAsia="zh-CN" w:bidi="ar-SA"/>
            </w:rPr>
            <w:t>.</w:t>
          </w:r>
          <w:r>
            <w:rPr>
              <w:rFonts w:hint="eastAsia" w:ascii="宋体" w:hAnsi="宋体" w:cs="宋体"/>
              <w:b w:val="0"/>
              <w:i w:val="0"/>
              <w:caps w:val="0"/>
              <w:strike w:val="0"/>
              <w:dstrike w:val="0"/>
              <w:vanish w:val="0"/>
              <w:color w:val="auto"/>
              <w:kern w:val="2"/>
              <w:sz w:val="21"/>
              <w:szCs w:val="24"/>
              <w:lang w:val="en-US" w:eastAsia="zh-CN" w:bidi="ar-SA"/>
            </w:rPr>
            <w:t xml:space="preserve">1  </w:t>
          </w:r>
          <w:r>
            <w:rPr>
              <w:rFonts w:hint="eastAsia" w:ascii="宋体" w:hAnsi="宋体" w:eastAsia="宋体" w:cs="宋体"/>
              <w:b w:val="0"/>
              <w:color w:val="auto"/>
              <w:sz w:val="21"/>
              <w:lang w:val="en-US" w:eastAsia="zh-CN"/>
            </w:rPr>
            <w:t>特殊场所检测要求表</w:t>
          </w:r>
          <w:r>
            <w:rPr>
              <w:rFonts w:hint="eastAsia" w:ascii="宋体" w:hAnsi="宋体" w:eastAsia="宋体" w:cs="宋体"/>
              <w:b w:val="0"/>
              <w:color w:val="auto"/>
              <w:sz w:val="21"/>
            </w:rPr>
            <w:tab/>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_Toc30294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24</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1DB5D8FB">
          <w:pPr>
            <w:pStyle w:val="74"/>
            <w:tabs>
              <w:tab w:val="right" w:leader="dot" w:pos="9355"/>
            </w:tabs>
            <w:rPr>
              <w:rFonts w:hint="eastAsia" w:ascii="宋体" w:hAnsi="宋体" w:eastAsia="宋体" w:cs="宋体"/>
              <w:b w:val="0"/>
              <w:color w:val="auto"/>
              <w:sz w:val="21"/>
            </w:rPr>
          </w:pPr>
          <w:r>
            <w:rPr>
              <w:rFonts w:hint="eastAsia" w:ascii="宋体" w:hAnsi="宋体" w:eastAsia="宋体" w:cs="宋体"/>
              <w:b w:val="0"/>
              <w:color w:val="auto"/>
              <w:sz w:val="21"/>
              <w:lang w:eastAsia="zh-CN"/>
            </w:rPr>
            <w:fldChar w:fldCharType="begin"/>
          </w:r>
          <w:r>
            <w:rPr>
              <w:rFonts w:hint="eastAsia" w:ascii="宋体" w:hAnsi="宋体" w:eastAsia="宋体" w:cs="宋体"/>
              <w:b w:val="0"/>
              <w:color w:val="auto"/>
              <w:sz w:val="21"/>
              <w:lang w:eastAsia="zh-CN"/>
            </w:rPr>
            <w:instrText xml:space="preserve"> HYPERLINK \l _Toc30294 </w:instrText>
          </w:r>
          <w:r>
            <w:rPr>
              <w:rFonts w:hint="eastAsia" w:ascii="宋体" w:hAnsi="宋体" w:eastAsia="宋体" w:cs="宋体"/>
              <w:b w:val="0"/>
              <w:color w:val="auto"/>
              <w:sz w:val="21"/>
              <w:lang w:eastAsia="zh-CN"/>
            </w:rPr>
            <w:fldChar w:fldCharType="separate"/>
          </w:r>
          <w:r>
            <w:rPr>
              <w:rFonts w:hint="eastAsia" w:ascii="宋体" w:hAnsi="宋体" w:eastAsia="宋体" w:cs="宋体"/>
              <w:b w:val="0"/>
              <w:i w:val="0"/>
              <w:caps w:val="0"/>
              <w:strike w:val="0"/>
              <w:dstrike w:val="0"/>
              <w:vanish w:val="0"/>
              <w:color w:val="auto"/>
              <w:sz w:val="21"/>
              <w:lang w:val="en-US" w:eastAsia="zh-CN"/>
            </w:rPr>
            <w:t>表</w:t>
          </w:r>
          <w:r>
            <w:rPr>
              <w:rFonts w:hint="eastAsia" w:cs="宋体"/>
              <w:b w:val="0"/>
              <w:i w:val="0"/>
              <w:caps w:val="0"/>
              <w:strike w:val="0"/>
              <w:dstrike w:val="0"/>
              <w:vanish w:val="0"/>
              <w:color w:val="auto"/>
              <w:sz w:val="21"/>
              <w:lang w:val="en-US" w:eastAsia="zh-CN"/>
            </w:rPr>
            <w:t>E</w:t>
          </w:r>
          <w:r>
            <w:rPr>
              <w:rFonts w:hint="eastAsia" w:ascii="宋体" w:hAnsi="宋体" w:eastAsia="宋体" w:cs="宋体"/>
              <w:b w:val="0"/>
              <w:i w:val="0"/>
              <w:caps w:val="0"/>
              <w:strike w:val="0"/>
              <w:dstrike w:val="0"/>
              <w:vanish w:val="0"/>
              <w:color w:val="auto"/>
              <w:sz w:val="21"/>
              <w:lang w:val="en-US" w:eastAsia="zh-CN"/>
            </w:rPr>
            <w:t xml:space="preserve">.1 </w:t>
          </w:r>
          <w:r>
            <w:rPr>
              <w:rFonts w:hint="eastAsia" w:cs="宋体"/>
              <w:b w:val="0"/>
              <w:i w:val="0"/>
              <w:caps w:val="0"/>
              <w:strike w:val="0"/>
              <w:dstrike w:val="0"/>
              <w:vanish w:val="0"/>
              <w:color w:val="auto"/>
              <w:sz w:val="21"/>
              <w:lang w:val="en-US" w:eastAsia="zh-CN"/>
            </w:rPr>
            <w:t xml:space="preserve"> 检测仪器基本配置</w:t>
          </w:r>
          <w:r>
            <w:rPr>
              <w:rFonts w:hint="eastAsia" w:ascii="宋体" w:hAnsi="宋体" w:eastAsia="宋体" w:cs="宋体"/>
              <w:b w:val="0"/>
              <w:color w:val="auto"/>
              <w:sz w:val="21"/>
            </w:rPr>
            <w:tab/>
          </w:r>
          <w:r>
            <w:rPr>
              <w:rFonts w:hint="eastAsia" w:ascii="宋体" w:hAnsi="宋体" w:eastAsia="宋体" w:cs="宋体"/>
              <w:b w:val="0"/>
              <w:color w:val="auto"/>
              <w:sz w:val="21"/>
            </w:rPr>
            <w:fldChar w:fldCharType="begin"/>
          </w:r>
          <w:r>
            <w:rPr>
              <w:rFonts w:hint="eastAsia" w:ascii="宋体" w:hAnsi="宋体" w:eastAsia="宋体" w:cs="宋体"/>
              <w:b w:val="0"/>
              <w:color w:val="auto"/>
              <w:sz w:val="21"/>
            </w:rPr>
            <w:instrText xml:space="preserve"> PAGEREF _Toc30294 \h </w:instrText>
          </w:r>
          <w:r>
            <w:rPr>
              <w:rFonts w:hint="eastAsia" w:ascii="宋体" w:hAnsi="宋体" w:eastAsia="宋体" w:cs="宋体"/>
              <w:b w:val="0"/>
              <w:color w:val="auto"/>
              <w:sz w:val="21"/>
            </w:rPr>
            <w:fldChar w:fldCharType="separate"/>
          </w:r>
          <w:r>
            <w:rPr>
              <w:rFonts w:hint="eastAsia" w:ascii="宋体" w:hAnsi="宋体" w:eastAsia="宋体" w:cs="宋体"/>
              <w:b w:val="0"/>
              <w:color w:val="auto"/>
              <w:sz w:val="21"/>
            </w:rPr>
            <w:t>2</w:t>
          </w:r>
          <w:r>
            <w:rPr>
              <w:rFonts w:hint="eastAsia" w:cs="宋体"/>
              <w:b w:val="0"/>
              <w:color w:val="auto"/>
              <w:sz w:val="21"/>
              <w:lang w:val="en-US" w:eastAsia="zh-CN"/>
            </w:rPr>
            <w:t>7</w:t>
          </w:r>
          <w:r>
            <w:rPr>
              <w:rFonts w:hint="eastAsia" w:ascii="宋体" w:hAnsi="宋体" w:eastAsia="宋体" w:cs="宋体"/>
              <w:b w:val="0"/>
              <w:color w:val="auto"/>
              <w:sz w:val="21"/>
            </w:rPr>
            <w:fldChar w:fldCharType="end"/>
          </w:r>
          <w:r>
            <w:rPr>
              <w:rFonts w:hint="eastAsia" w:ascii="宋体" w:hAnsi="宋体" w:eastAsia="宋体" w:cs="宋体"/>
              <w:b w:val="0"/>
              <w:color w:val="auto"/>
              <w:sz w:val="21"/>
              <w:lang w:eastAsia="zh-CN"/>
            </w:rPr>
            <w:fldChar w:fldCharType="end"/>
          </w:r>
        </w:p>
        <w:p w14:paraId="65C1F031">
          <w:pPr>
            <w:bidi w:val="0"/>
            <w:rPr>
              <w:rFonts w:hint="eastAsia"/>
              <w:color w:val="auto"/>
              <w:lang w:eastAsia="zh-CN"/>
            </w:rPr>
          </w:pPr>
          <w:r>
            <w:rPr>
              <w:rFonts w:hint="eastAsia" w:ascii="宋体" w:hAnsi="宋体" w:eastAsia="宋体" w:cs="宋体"/>
              <w:b w:val="0"/>
              <w:color w:val="auto"/>
              <w:sz w:val="21"/>
              <w:lang w:eastAsia="zh-CN"/>
            </w:rPr>
            <w:fldChar w:fldCharType="end"/>
          </w:r>
        </w:p>
      </w:sdtContent>
    </w:sdt>
    <w:p w14:paraId="5C594F48">
      <w:pPr>
        <w:bidi w:val="0"/>
        <w:rPr>
          <w:rFonts w:hint="eastAsia"/>
          <w:color w:val="auto"/>
          <w:lang w:eastAsia="zh-CN"/>
        </w:rPr>
      </w:pPr>
    </w:p>
    <w:p w14:paraId="6A45BC94">
      <w:pPr>
        <w:bidi w:val="0"/>
        <w:rPr>
          <w:rFonts w:hint="eastAsia"/>
          <w:color w:val="auto"/>
          <w:lang w:eastAsia="zh-CN"/>
        </w:rPr>
      </w:pPr>
    </w:p>
    <w:p w14:paraId="01CC0F12">
      <w:pPr>
        <w:bidi w:val="0"/>
        <w:rPr>
          <w:rFonts w:hint="eastAsia"/>
          <w:color w:val="auto"/>
          <w:lang w:eastAsia="zh-CN"/>
        </w:rPr>
      </w:pPr>
    </w:p>
    <w:p w14:paraId="08C86C7F">
      <w:pPr>
        <w:bidi w:val="0"/>
        <w:rPr>
          <w:rFonts w:hint="eastAsia"/>
          <w:color w:val="auto"/>
          <w:lang w:eastAsia="zh-CN"/>
        </w:rPr>
      </w:pPr>
    </w:p>
    <w:p w14:paraId="27B45086">
      <w:pPr>
        <w:tabs>
          <w:tab w:val="left" w:pos="6492"/>
        </w:tabs>
        <w:bidi w:val="0"/>
        <w:jc w:val="left"/>
        <w:rPr>
          <w:rFonts w:hint="eastAsia"/>
          <w:color w:val="auto"/>
          <w:lang w:eastAsia="zh-CN"/>
        </w:rPr>
        <w:sectPr>
          <w:headerReference r:id="rId10" w:type="first"/>
          <w:headerReference r:id="rId9" w:type="default"/>
          <w:footerReference r:id="rId11"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r>
        <w:rPr>
          <w:rFonts w:hint="eastAsia"/>
          <w:color w:val="auto"/>
          <w:lang w:eastAsia="zh-CN"/>
        </w:rPr>
        <w:tab/>
      </w:r>
    </w:p>
    <w:p w14:paraId="2EA708E1">
      <w:pPr>
        <w:pStyle w:val="256"/>
        <w:bidi w:val="0"/>
        <w:rPr>
          <w:rFonts w:hint="eastAsia"/>
          <w:color w:val="auto"/>
          <w:lang w:eastAsia="zh-CN"/>
        </w:rPr>
      </w:pPr>
      <w:bookmarkStart w:id="7" w:name="标准前言"/>
      <w:bookmarkEnd w:id="7"/>
      <w:bookmarkStart w:id="8" w:name="_Toc23312"/>
      <w:bookmarkStart w:id="9" w:name="_Toc8769"/>
      <w:bookmarkStart w:id="10" w:name="_Toc266"/>
      <w:bookmarkStart w:id="11" w:name="_Toc16855"/>
      <w:bookmarkStart w:id="12" w:name="_Toc4015"/>
      <w:bookmarkStart w:id="13" w:name="_Toc18240"/>
      <w:bookmarkStart w:id="14" w:name="_Toc16339"/>
      <w:r>
        <w:rPr>
          <w:rFonts w:hint="eastAsia"/>
          <w:color w:val="auto"/>
          <w:lang w:eastAsia="zh-CN"/>
        </w:rPr>
        <w:t>前    言</w:t>
      </w:r>
      <w:bookmarkEnd w:id="1"/>
      <w:bookmarkEnd w:id="2"/>
      <w:bookmarkEnd w:id="3"/>
      <w:bookmarkEnd w:id="4"/>
      <w:bookmarkEnd w:id="5"/>
      <w:bookmarkEnd w:id="8"/>
      <w:bookmarkEnd w:id="9"/>
      <w:bookmarkEnd w:id="10"/>
      <w:bookmarkEnd w:id="11"/>
      <w:bookmarkEnd w:id="12"/>
      <w:bookmarkEnd w:id="13"/>
      <w:bookmarkEnd w:id="14"/>
    </w:p>
    <w:p w14:paraId="66F6C0BD">
      <w:pPr>
        <w:pStyle w:val="258"/>
        <w:bidi w:val="0"/>
        <w:rPr>
          <w:rFonts w:hint="eastAsia"/>
          <w:color w:val="auto"/>
          <w:lang w:val="en-US" w:eastAsia="zh-CN"/>
        </w:rPr>
      </w:pPr>
      <w:r>
        <w:rPr>
          <w:rFonts w:hint="eastAsia"/>
          <w:color w:val="auto"/>
          <w:lang w:val="en-US" w:eastAsia="zh-CN"/>
        </w:rPr>
        <w:t>本文件按照GB/T 1.1—2020《标准化工作导则  第1部分：标准化文件的结构和起草规则》的规定起草。</w:t>
      </w:r>
    </w:p>
    <w:p w14:paraId="6E6C8485">
      <w:pPr>
        <w:ind w:firstLine="452" w:firstLineChars="20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请注意本文件的某些内容可能涉及专利。本文件的发布机构不承担识别专利的责任。</w:t>
      </w:r>
    </w:p>
    <w:p w14:paraId="42CED72A">
      <w:pPr>
        <w:ind w:firstLine="452" w:firstLineChars="20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本文件由</w:t>
      </w:r>
      <w:r>
        <w:rPr>
          <w:rFonts w:hint="eastAsia" w:ascii="宋体" w:hAnsi="宋体" w:eastAsia="宋体" w:cs="宋体"/>
          <w:color w:val="auto"/>
          <w:spacing w:val="8"/>
          <w:sz w:val="21"/>
          <w:szCs w:val="21"/>
          <w:lang w:val="en-US" w:eastAsia="zh-CN"/>
        </w:rPr>
        <w:t>重庆</w:t>
      </w:r>
      <w:r>
        <w:rPr>
          <w:rFonts w:hint="eastAsia" w:ascii="宋体" w:hAnsi="宋体" w:eastAsia="宋体" w:cs="宋体"/>
          <w:color w:val="auto"/>
          <w:spacing w:val="8"/>
          <w:sz w:val="21"/>
          <w:szCs w:val="21"/>
        </w:rPr>
        <w:t>消防协会</w:t>
      </w:r>
      <w:r>
        <w:rPr>
          <w:rFonts w:hint="eastAsia" w:ascii="宋体" w:hAnsi="宋体" w:cs="宋体"/>
          <w:color w:val="auto"/>
          <w:spacing w:val="8"/>
          <w:sz w:val="21"/>
          <w:szCs w:val="21"/>
          <w:lang w:eastAsia="zh-CN"/>
        </w:rPr>
        <w:t>、</w:t>
      </w:r>
      <w:r>
        <w:rPr>
          <w:rFonts w:hint="eastAsia" w:ascii="宋体" w:hAnsi="宋体" w:cs="宋体"/>
          <w:color w:val="auto"/>
          <w:spacing w:val="8"/>
          <w:sz w:val="21"/>
          <w:szCs w:val="21"/>
          <w:lang w:val="en-US" w:eastAsia="zh-CN"/>
        </w:rPr>
        <w:t>四川省消防协会共同</w:t>
      </w:r>
      <w:r>
        <w:rPr>
          <w:rFonts w:hint="eastAsia" w:ascii="宋体" w:hAnsi="宋体" w:eastAsia="宋体" w:cs="宋体"/>
          <w:color w:val="auto"/>
          <w:spacing w:val="8"/>
          <w:sz w:val="21"/>
          <w:szCs w:val="21"/>
        </w:rPr>
        <w:t>提出并归口。</w:t>
      </w:r>
    </w:p>
    <w:p w14:paraId="3347729C">
      <w:pPr>
        <w:ind w:firstLine="452" w:firstLineChars="20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本文件起草单位：</w:t>
      </w:r>
    </w:p>
    <w:p w14:paraId="2878CE8C">
      <w:pPr>
        <w:ind w:firstLine="452" w:firstLineChars="200"/>
        <w:jc w:val="both"/>
        <w:rPr>
          <w:rFonts w:hint="eastAsia" w:ascii="宋体" w:hAnsi="宋体" w:cs="宋体"/>
          <w:color w:val="auto"/>
          <w:spacing w:val="8"/>
          <w:sz w:val="21"/>
          <w:szCs w:val="21"/>
          <w:lang w:eastAsia="zh-CN"/>
        </w:rPr>
      </w:pPr>
      <w:r>
        <w:rPr>
          <w:rFonts w:hint="eastAsia" w:ascii="宋体" w:hAnsi="宋体" w:cs="宋体"/>
          <w:color w:val="auto"/>
          <w:spacing w:val="8"/>
          <w:sz w:val="21"/>
          <w:szCs w:val="21"/>
          <w:lang w:val="en-US" w:eastAsia="zh-CN"/>
        </w:rPr>
        <w:t>重庆编制组：</w:t>
      </w:r>
      <w:r>
        <w:rPr>
          <w:rFonts w:hint="eastAsia" w:ascii="宋体" w:hAnsi="宋体" w:eastAsia="宋体" w:cs="宋体"/>
          <w:color w:val="auto"/>
          <w:spacing w:val="8"/>
          <w:sz w:val="21"/>
          <w:szCs w:val="21"/>
        </w:rPr>
        <w:t>重庆渝电质量检测有限公司、重庆市元商科技发展有限公司、重庆市恒丰建筑消防设施维保有限公司、重庆力杰消防工程有限公司</w:t>
      </w:r>
      <w:r>
        <w:rPr>
          <w:rFonts w:hint="eastAsia" w:ascii="宋体" w:hAnsi="宋体" w:cs="宋体"/>
          <w:color w:val="auto"/>
          <w:spacing w:val="8"/>
          <w:sz w:val="21"/>
          <w:szCs w:val="21"/>
          <w:lang w:eastAsia="zh-CN"/>
        </w:rPr>
        <w:t>、</w:t>
      </w:r>
      <w:r>
        <w:rPr>
          <w:rFonts w:hint="eastAsia" w:ascii="宋体" w:hAnsi="宋体" w:eastAsia="宋体" w:cs="宋体"/>
          <w:color w:val="auto"/>
          <w:spacing w:val="8"/>
          <w:sz w:val="21"/>
          <w:szCs w:val="21"/>
        </w:rPr>
        <w:t>重庆市消防救援总队轨道交通支队、</w:t>
      </w:r>
      <w:r>
        <w:rPr>
          <w:rFonts w:hint="eastAsia" w:ascii="宋体" w:hAnsi="宋体" w:cs="宋体"/>
          <w:color w:val="auto"/>
          <w:spacing w:val="8"/>
          <w:sz w:val="21"/>
          <w:szCs w:val="21"/>
          <w:lang w:val="en-US" w:eastAsia="zh-CN"/>
        </w:rPr>
        <w:t>重庆市渝中区消防救援支队、重庆康明斯发动机有限公司、</w:t>
      </w:r>
      <w:r>
        <w:rPr>
          <w:rFonts w:hint="eastAsia" w:ascii="宋体" w:hAnsi="宋体" w:eastAsia="宋体" w:cs="宋体"/>
          <w:color w:val="auto"/>
          <w:spacing w:val="8"/>
          <w:sz w:val="21"/>
          <w:szCs w:val="21"/>
        </w:rPr>
        <w:t>重庆邮电大学</w:t>
      </w:r>
      <w:r>
        <w:rPr>
          <w:rFonts w:hint="eastAsia" w:ascii="宋体" w:hAnsi="宋体" w:cs="宋体"/>
          <w:color w:val="auto"/>
          <w:spacing w:val="8"/>
          <w:sz w:val="21"/>
          <w:szCs w:val="21"/>
          <w:lang w:eastAsia="zh-CN"/>
        </w:rPr>
        <w:t>。</w:t>
      </w:r>
    </w:p>
    <w:p w14:paraId="6D8ABECE">
      <w:pPr>
        <w:ind w:firstLine="452" w:firstLineChars="200"/>
        <w:jc w:val="both"/>
        <w:rPr>
          <w:rFonts w:hint="eastAsia" w:ascii="宋体" w:hAnsi="宋体" w:eastAsia="宋体" w:cs="宋体"/>
          <w:color w:val="auto"/>
          <w:spacing w:val="8"/>
          <w:sz w:val="21"/>
          <w:szCs w:val="21"/>
        </w:rPr>
      </w:pPr>
      <w:r>
        <w:rPr>
          <w:rFonts w:hint="eastAsia" w:ascii="宋体" w:hAnsi="宋体" w:cs="宋体"/>
          <w:color w:val="auto"/>
          <w:spacing w:val="8"/>
          <w:sz w:val="21"/>
          <w:szCs w:val="21"/>
          <w:lang w:val="en-US" w:eastAsia="zh-CN"/>
        </w:rPr>
        <w:t>四川编制组：</w:t>
      </w:r>
      <w:r>
        <w:rPr>
          <w:rFonts w:hint="eastAsia" w:ascii="宋体" w:hAnsi="宋体" w:eastAsia="宋体" w:cs="宋体"/>
          <w:color w:val="auto"/>
          <w:spacing w:val="8"/>
          <w:sz w:val="21"/>
          <w:szCs w:val="21"/>
        </w:rPr>
        <w:t>四川武盾实业总公司、四川法斯特消防安全性能评估有限公司、四川华胜消防工程有限公司、炳森宏业集团有限公司、川消消防工程有限公司、四川建西消防工程有限公司。</w:t>
      </w:r>
    </w:p>
    <w:p w14:paraId="45480402">
      <w:pPr>
        <w:pStyle w:val="258"/>
        <w:bidi w:val="0"/>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本文件主要起草人：</w:t>
      </w:r>
    </w:p>
    <w:p w14:paraId="262C518E">
      <w:pPr>
        <w:pStyle w:val="258"/>
        <w:bidi w:val="0"/>
        <w:rPr>
          <w:rFonts w:hint="eastAsia" w:hAnsi="宋体" w:cs="宋体"/>
          <w:color w:val="auto"/>
          <w:spacing w:val="8"/>
          <w:sz w:val="21"/>
          <w:szCs w:val="21"/>
          <w:lang w:val="en-US" w:eastAsia="zh-CN"/>
        </w:rPr>
      </w:pPr>
      <w:r>
        <w:rPr>
          <w:rFonts w:hint="eastAsia" w:hAnsi="宋体" w:cs="宋体"/>
          <w:color w:val="auto"/>
          <w:spacing w:val="8"/>
          <w:sz w:val="21"/>
          <w:szCs w:val="21"/>
          <w:lang w:val="en-US" w:eastAsia="zh-CN"/>
        </w:rPr>
        <w:t>重庆编制组：程昊、朱勇、</w:t>
      </w:r>
      <w:r>
        <w:rPr>
          <w:rFonts w:hint="eastAsia" w:ascii="宋体" w:hAnsi="宋体" w:eastAsia="宋体" w:cs="宋体"/>
          <w:color w:val="auto"/>
          <w:spacing w:val="8"/>
          <w:sz w:val="21"/>
          <w:szCs w:val="21"/>
          <w:lang w:val="en-US" w:eastAsia="zh-CN"/>
        </w:rPr>
        <w:t>刘渠江、</w:t>
      </w:r>
      <w:r>
        <w:rPr>
          <w:rFonts w:hint="eastAsia" w:hAnsi="宋体" w:cs="宋体"/>
          <w:color w:val="auto"/>
          <w:spacing w:val="8"/>
          <w:sz w:val="21"/>
          <w:szCs w:val="21"/>
          <w:lang w:val="en-US" w:eastAsia="zh-CN"/>
        </w:rPr>
        <w:t>魏钊、刘钢、李林茂、谭永刚、</w:t>
      </w:r>
      <w:r>
        <w:rPr>
          <w:rFonts w:hint="eastAsia" w:ascii="宋体" w:hAnsi="宋体" w:eastAsia="宋体" w:cs="宋体"/>
          <w:color w:val="auto"/>
          <w:spacing w:val="8"/>
          <w:sz w:val="21"/>
          <w:szCs w:val="21"/>
          <w:lang w:val="en-US" w:eastAsia="zh-CN"/>
        </w:rPr>
        <w:t>黄建平、</w:t>
      </w:r>
      <w:r>
        <w:rPr>
          <w:rFonts w:hint="eastAsia" w:hAnsi="宋体" w:cs="宋体"/>
          <w:color w:val="auto"/>
          <w:spacing w:val="8"/>
          <w:sz w:val="21"/>
          <w:szCs w:val="21"/>
          <w:lang w:val="en-US" w:eastAsia="zh-CN"/>
        </w:rPr>
        <w:t>刘鹏均、刘丽平、温朝国、郭镔漾、</w:t>
      </w:r>
      <w:r>
        <w:rPr>
          <w:rFonts w:hint="eastAsia" w:ascii="宋体" w:hAnsi="宋体" w:eastAsia="宋体" w:cs="宋体"/>
          <w:color w:val="auto"/>
          <w:spacing w:val="8"/>
          <w:sz w:val="21"/>
          <w:szCs w:val="21"/>
          <w:lang w:val="en-US" w:eastAsia="zh-CN"/>
        </w:rPr>
        <w:t>涂沁颖、</w:t>
      </w:r>
      <w:r>
        <w:rPr>
          <w:rFonts w:hint="eastAsia" w:hAnsi="宋体" w:cs="宋体"/>
          <w:color w:val="auto"/>
          <w:spacing w:val="8"/>
          <w:sz w:val="21"/>
          <w:szCs w:val="21"/>
          <w:highlight w:val="none"/>
          <w:lang w:val="en-US" w:eastAsia="zh-CN"/>
        </w:rPr>
        <w:t>韩庆</w:t>
      </w:r>
      <w:r>
        <w:rPr>
          <w:rFonts w:hint="eastAsia" w:hAnsi="宋体" w:cs="宋体"/>
          <w:color w:val="auto"/>
          <w:spacing w:val="8"/>
          <w:sz w:val="21"/>
          <w:szCs w:val="21"/>
          <w:lang w:val="en-US" w:eastAsia="zh-CN"/>
        </w:rPr>
        <w:t>、邱东荣、</w:t>
      </w:r>
      <w:r>
        <w:rPr>
          <w:rFonts w:hint="eastAsia" w:ascii="宋体" w:hAnsi="宋体" w:eastAsia="宋体" w:cs="宋体"/>
          <w:color w:val="auto"/>
          <w:spacing w:val="8"/>
          <w:sz w:val="21"/>
          <w:szCs w:val="21"/>
          <w:lang w:val="en-US" w:eastAsia="zh-CN"/>
        </w:rPr>
        <w:t>余丽、</w:t>
      </w:r>
      <w:r>
        <w:rPr>
          <w:rFonts w:hint="eastAsia" w:hAnsi="宋体" w:cs="宋体"/>
          <w:color w:val="auto"/>
          <w:spacing w:val="8"/>
          <w:sz w:val="21"/>
          <w:szCs w:val="21"/>
          <w:lang w:val="en-US" w:eastAsia="zh-CN"/>
        </w:rPr>
        <w:t>李碧琼、傅舟、文靓思、贺磊、</w:t>
      </w:r>
      <w:r>
        <w:rPr>
          <w:rFonts w:hint="eastAsia" w:ascii="宋体" w:hAnsi="宋体" w:eastAsia="宋体" w:cs="宋体"/>
          <w:color w:val="auto"/>
          <w:spacing w:val="8"/>
          <w:sz w:val="21"/>
          <w:szCs w:val="21"/>
          <w:lang w:val="en-US" w:eastAsia="zh-CN"/>
        </w:rPr>
        <w:t>曹凌、</w:t>
      </w:r>
      <w:r>
        <w:rPr>
          <w:rFonts w:hint="eastAsia" w:hAnsi="宋体" w:cs="宋体"/>
          <w:color w:val="auto"/>
          <w:spacing w:val="8"/>
          <w:sz w:val="21"/>
          <w:szCs w:val="21"/>
          <w:lang w:val="en-US" w:eastAsia="zh-CN"/>
        </w:rPr>
        <w:t>陈宏</w:t>
      </w:r>
      <w:r>
        <w:rPr>
          <w:rFonts w:hint="eastAsia" w:ascii="宋体" w:hAnsi="宋体" w:eastAsia="宋体" w:cs="宋体"/>
          <w:color w:val="auto"/>
          <w:spacing w:val="8"/>
          <w:sz w:val="21"/>
          <w:szCs w:val="21"/>
          <w:lang w:val="en-US" w:eastAsia="zh-CN"/>
        </w:rPr>
        <w:t>、王毅</w:t>
      </w:r>
      <w:r>
        <w:rPr>
          <w:rFonts w:hint="eastAsia" w:hAnsi="宋体" w:cs="宋体"/>
          <w:color w:val="auto"/>
          <w:spacing w:val="8"/>
          <w:sz w:val="21"/>
          <w:szCs w:val="21"/>
          <w:lang w:val="en-US" w:eastAsia="zh-CN"/>
        </w:rPr>
        <w:t>。</w:t>
      </w:r>
    </w:p>
    <w:p w14:paraId="2F8C25A7">
      <w:pPr>
        <w:pStyle w:val="258"/>
        <w:bidi w:val="0"/>
        <w:rPr>
          <w:rFonts w:hint="eastAsia"/>
          <w:color w:val="auto"/>
          <w:lang w:eastAsia="zh-CN"/>
        </w:rPr>
      </w:pPr>
      <w:r>
        <w:rPr>
          <w:rFonts w:hint="eastAsia" w:hAnsi="宋体" w:cs="宋体"/>
          <w:color w:val="auto"/>
          <w:spacing w:val="8"/>
          <w:sz w:val="21"/>
          <w:szCs w:val="21"/>
          <w:lang w:val="en-US" w:eastAsia="zh-CN"/>
        </w:rPr>
        <w:t>四川编制组：彭林、董冠婴、曾淼、陈泽彦、尧熠、杨远福。</w:t>
      </w:r>
    </w:p>
    <w:p w14:paraId="16033F5F">
      <w:pPr>
        <w:pStyle w:val="258"/>
        <w:bidi w:val="0"/>
        <w:rPr>
          <w:rFonts w:hint="eastAsia"/>
          <w:color w:val="auto"/>
          <w:lang w:eastAsia="zh-CN"/>
        </w:rPr>
        <w:sectPr>
          <w:pgSz w:w="11907" w:h="16839"/>
          <w:pgMar w:top="1418" w:right="1134" w:bottom="1134" w:left="1418" w:header="1418" w:footer="1134" w:gutter="0"/>
          <w:lnNumType w:countBy="0" w:restart="continuous"/>
          <w:pgNumType w:fmt="upperRoman"/>
          <w:cols w:space="425" w:num="1"/>
          <w:rtlGutter w:val="0"/>
          <w:docGrid w:type="lines" w:linePitch="312" w:charSpace="0"/>
        </w:sectPr>
      </w:pPr>
    </w:p>
    <w:p w14:paraId="62032229">
      <w:pPr>
        <w:pStyle w:val="315"/>
        <w:bidi w:val="0"/>
        <w:rPr>
          <w:rFonts w:hint="eastAsia"/>
          <w:color w:val="auto"/>
          <w:lang w:eastAsia="zh-CN"/>
        </w:rPr>
      </w:pPr>
      <w:bookmarkStart w:id="15" w:name="标准引言"/>
      <w:bookmarkEnd w:id="15"/>
      <w:bookmarkStart w:id="16" w:name="标准内容"/>
      <w:bookmarkEnd w:id="16"/>
      <w:r>
        <w:rPr>
          <w:rFonts w:hint="eastAsia"/>
          <w:color w:val="auto"/>
          <w:lang w:eastAsia="zh-CN"/>
        </w:rPr>
        <w:t>建筑电气防火检测技术规程</w:t>
      </w:r>
      <w:bookmarkStart w:id="705" w:name="_GoBack"/>
      <w:bookmarkEnd w:id="705"/>
    </w:p>
    <w:p w14:paraId="77DF55F3">
      <w:pPr>
        <w:pStyle w:val="259"/>
        <w:rPr>
          <w:color w:val="auto"/>
        </w:rPr>
      </w:pPr>
      <w:bookmarkStart w:id="17" w:name="_Toc17201"/>
      <w:bookmarkStart w:id="18" w:name="_Toc12688"/>
      <w:bookmarkStart w:id="19" w:name="_Toc31876"/>
      <w:bookmarkStart w:id="20" w:name="_Toc28038"/>
      <w:bookmarkStart w:id="21" w:name="_Toc23895"/>
      <w:bookmarkStart w:id="22" w:name="_Toc7048"/>
      <w:bookmarkStart w:id="23" w:name="_Toc6013"/>
      <w:bookmarkStart w:id="24" w:name="_Toc4873"/>
      <w:bookmarkStart w:id="25" w:name="_Toc14443"/>
      <w:bookmarkStart w:id="26" w:name="_Toc14818"/>
      <w:bookmarkStart w:id="27" w:name="_Toc23829"/>
      <w:bookmarkStart w:id="28" w:name="_Toc26789"/>
      <w:r>
        <w:rPr>
          <w:rFonts w:hint="eastAsia"/>
          <w:color w:val="auto"/>
        </w:rPr>
        <w:t>范围</w:t>
      </w:r>
      <w:bookmarkEnd w:id="17"/>
      <w:bookmarkEnd w:id="18"/>
      <w:bookmarkEnd w:id="19"/>
      <w:bookmarkEnd w:id="20"/>
      <w:bookmarkEnd w:id="21"/>
      <w:bookmarkEnd w:id="22"/>
      <w:bookmarkEnd w:id="23"/>
      <w:bookmarkEnd w:id="24"/>
      <w:bookmarkEnd w:id="25"/>
      <w:bookmarkEnd w:id="26"/>
      <w:bookmarkEnd w:id="27"/>
      <w:bookmarkEnd w:id="28"/>
    </w:p>
    <w:p w14:paraId="586FDE9B">
      <w:pPr>
        <w:pStyle w:val="258"/>
        <w:bidi w:val="0"/>
        <w:rPr>
          <w:color w:val="auto"/>
        </w:rPr>
      </w:pPr>
      <w:r>
        <w:rPr>
          <w:rFonts w:hint="eastAsia"/>
          <w:color w:val="auto"/>
          <w:lang w:val="en-US" w:eastAsia="zh-CN"/>
        </w:rPr>
        <w:t>本文件规定了建筑电气防火检测的一般规定、检测流程、技术要求、检测方法、检测记录与报告的要求。</w:t>
      </w:r>
    </w:p>
    <w:p w14:paraId="133FD824">
      <w:pPr>
        <w:pStyle w:val="258"/>
        <w:bidi w:val="0"/>
        <w:rPr>
          <w:color w:val="auto"/>
        </w:rPr>
      </w:pPr>
      <w:r>
        <w:rPr>
          <w:rFonts w:hint="eastAsia"/>
          <w:color w:val="auto"/>
          <w:lang w:val="en-US" w:eastAsia="zh-CN"/>
        </w:rPr>
        <w:t>本文件适用于交流电压20kV及以下的建筑电气防火检测。</w:t>
      </w:r>
    </w:p>
    <w:p w14:paraId="0108B2C5">
      <w:pPr>
        <w:pStyle w:val="258"/>
        <w:ind w:firstLine="420"/>
        <w:rPr>
          <w:color w:val="auto"/>
        </w:rPr>
      </w:pPr>
      <w:r>
        <w:rPr>
          <w:rFonts w:hint="eastAsia"/>
          <w:color w:val="auto"/>
          <w:lang w:val="en-US" w:eastAsia="zh-CN"/>
        </w:rPr>
        <w:t>本文件不适用于爆炸危险场所，井下、航空、水上设施的电气防火检测可参照执行。</w:t>
      </w:r>
    </w:p>
    <w:p w14:paraId="1FDB65F0">
      <w:pPr>
        <w:pStyle w:val="259"/>
        <w:rPr>
          <w:color w:val="auto"/>
        </w:rPr>
      </w:pPr>
      <w:bookmarkStart w:id="29" w:name="_Toc26986772"/>
      <w:bookmarkStart w:id="30" w:name="_Toc13654"/>
      <w:bookmarkStart w:id="31" w:name="_Toc25229"/>
      <w:bookmarkStart w:id="32" w:name="_Toc23780"/>
      <w:bookmarkStart w:id="33" w:name="_Toc30613"/>
      <w:bookmarkStart w:id="34" w:name="_Toc14113"/>
      <w:bookmarkStart w:id="35" w:name="_Toc12570"/>
      <w:bookmarkStart w:id="36" w:name="_Toc26718931"/>
      <w:bookmarkStart w:id="37" w:name="_Toc25896"/>
      <w:bookmarkStart w:id="38" w:name="_Toc16583"/>
      <w:bookmarkStart w:id="39" w:name="_Toc26986531"/>
      <w:bookmarkStart w:id="40" w:name="_Toc28250"/>
      <w:bookmarkStart w:id="41" w:name="_Toc7845"/>
      <w:bookmarkStart w:id="42" w:name="_Toc2016"/>
      <w:bookmarkStart w:id="43" w:name="_Toc14111"/>
      <w:r>
        <w:rPr>
          <w:rFonts w:hint="eastAsia"/>
          <w:color w:val="auto"/>
        </w:rPr>
        <w:t>规范性引用文件</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E73DEB1">
      <w:pPr>
        <w:pStyle w:val="258"/>
        <w:ind w:firstLine="420"/>
        <w:rPr>
          <w:color w:val="auto"/>
        </w:rPr>
      </w:pPr>
      <w:sdt>
        <w:sdtPr>
          <w:rPr>
            <w:rFonts w:hint="eastAsia"/>
            <w:color w:val="auto"/>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Pr>
          <w:color w:val="auto"/>
        </w:rPr>
        <w:tab/>
      </w:r>
    </w:p>
    <w:p w14:paraId="68226C07">
      <w:pPr>
        <w:pStyle w:val="258"/>
        <w:bidi w:val="0"/>
        <w:rPr>
          <w:rFonts w:hint="default"/>
          <w:color w:val="auto"/>
          <w:lang w:val="en-US" w:eastAsia="zh-CN"/>
        </w:rPr>
      </w:pPr>
      <w:r>
        <w:rPr>
          <w:rFonts w:hint="eastAsia" w:ascii="宋体" w:hAnsi="宋体" w:eastAsia="宋体" w:cs="宋体"/>
          <w:color w:val="auto"/>
          <w:kern w:val="0"/>
          <w:sz w:val="21"/>
          <w:szCs w:val="21"/>
          <w:lang w:val="en-US" w:eastAsia="zh-CN" w:bidi="ar"/>
        </w:rPr>
        <w:t>GB</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14050</w:t>
      </w:r>
      <w:r>
        <w:rPr>
          <w:rFonts w:hint="eastAsia" w:hAnsi="宋体" w:cs="宋体"/>
          <w:color w:val="auto"/>
          <w:kern w:val="0"/>
          <w:sz w:val="21"/>
          <w:szCs w:val="21"/>
          <w:lang w:val="en-US" w:eastAsia="zh-CN" w:bidi="ar"/>
        </w:rPr>
        <w:t xml:space="preserve">  系统接地的型式及安全技术要求</w:t>
      </w:r>
    </w:p>
    <w:p w14:paraId="05D2A69B">
      <w:pPr>
        <w:pStyle w:val="258"/>
        <w:bidi w:val="0"/>
        <w:rPr>
          <w:rFonts w:hint="eastAsia"/>
          <w:color w:val="auto"/>
          <w:lang w:val="en-US" w:eastAsia="zh-CN"/>
        </w:rPr>
      </w:pPr>
      <w:r>
        <w:rPr>
          <w:rFonts w:hint="eastAsia"/>
          <w:color w:val="auto"/>
          <w:lang w:val="en-US" w:eastAsia="zh-CN"/>
        </w:rPr>
        <w:t>GB 50171  电气装置安装工程  盘、柜及二次回路接线施工及验收规范</w:t>
      </w:r>
    </w:p>
    <w:p w14:paraId="62A98685">
      <w:pPr>
        <w:pStyle w:val="258"/>
        <w:bidi w:val="0"/>
        <w:rPr>
          <w:rFonts w:hint="eastAsia"/>
          <w:color w:val="auto"/>
          <w:lang w:val="en-US" w:eastAsia="zh-CN"/>
        </w:rPr>
      </w:pPr>
      <w:r>
        <w:rPr>
          <w:rFonts w:hint="eastAsia"/>
          <w:color w:val="auto"/>
          <w:lang w:val="en-US" w:eastAsia="zh-CN"/>
        </w:rPr>
        <w:t>GB 50303  建筑电气工程施工质量验收规范</w:t>
      </w:r>
    </w:p>
    <w:p w14:paraId="2DE11E72">
      <w:pPr>
        <w:pStyle w:val="258"/>
        <w:bidi w:val="0"/>
        <w:rPr>
          <w:rFonts w:hint="eastAsia"/>
          <w:color w:val="auto"/>
          <w:lang w:val="en-US" w:eastAsia="zh-CN"/>
        </w:rPr>
      </w:pPr>
      <w:r>
        <w:rPr>
          <w:rFonts w:hint="eastAsia"/>
          <w:color w:val="auto"/>
          <w:lang w:val="en-US" w:eastAsia="zh-CN"/>
        </w:rPr>
        <w:t>GB/T 4208  外壳防护等级(IP代码)</w:t>
      </w:r>
    </w:p>
    <w:p w14:paraId="67608873">
      <w:pPr>
        <w:pStyle w:val="258"/>
        <w:bidi w:val="0"/>
        <w:rPr>
          <w:rFonts w:hint="default"/>
          <w:color w:val="auto"/>
          <w:lang w:val="en-US" w:eastAsia="zh-CN"/>
        </w:rPr>
      </w:pPr>
      <w:r>
        <w:rPr>
          <w:rFonts w:hint="eastAsia"/>
          <w:color w:val="auto"/>
          <w:lang w:val="en-US" w:eastAsia="zh-CN"/>
        </w:rPr>
        <w:t>GB/T 50034  建筑照明设计标准</w:t>
      </w:r>
    </w:p>
    <w:p w14:paraId="1913F579">
      <w:pPr>
        <w:pStyle w:val="259"/>
        <w:rPr>
          <w:color w:val="auto"/>
        </w:rPr>
      </w:pPr>
      <w:bookmarkStart w:id="44" w:name="_Toc22662"/>
      <w:bookmarkStart w:id="45" w:name="_Toc12227"/>
      <w:bookmarkStart w:id="46" w:name="_Toc25296"/>
      <w:bookmarkStart w:id="47" w:name="_Toc2361"/>
      <w:bookmarkStart w:id="48" w:name="_Toc4293"/>
      <w:bookmarkStart w:id="49" w:name="_Toc27046"/>
      <w:bookmarkStart w:id="50" w:name="_Toc11952"/>
      <w:bookmarkStart w:id="51" w:name="_Toc26009"/>
      <w:bookmarkStart w:id="52" w:name="_Toc12555"/>
      <w:bookmarkStart w:id="53" w:name="_Toc4484"/>
      <w:bookmarkStart w:id="54" w:name="_Toc11134"/>
      <w:bookmarkStart w:id="55" w:name="_Toc2181"/>
      <w:r>
        <w:rPr>
          <w:rFonts w:hint="eastAsia"/>
          <w:color w:val="auto"/>
        </w:rPr>
        <w:t>术语和定义</w:t>
      </w:r>
      <w:bookmarkEnd w:id="44"/>
      <w:bookmarkEnd w:id="45"/>
      <w:bookmarkEnd w:id="46"/>
      <w:bookmarkEnd w:id="47"/>
      <w:bookmarkEnd w:id="48"/>
      <w:bookmarkEnd w:id="49"/>
      <w:bookmarkEnd w:id="50"/>
      <w:bookmarkEnd w:id="51"/>
      <w:bookmarkEnd w:id="52"/>
      <w:bookmarkEnd w:id="53"/>
      <w:bookmarkEnd w:id="54"/>
      <w:bookmarkEnd w:id="55"/>
    </w:p>
    <w:sdt>
      <w:sdtPr>
        <w:rPr>
          <w:color w:val="auto"/>
        </w:r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14:paraId="3E1E8C03">
          <w:pPr>
            <w:pStyle w:val="258"/>
            <w:ind w:firstLine="420"/>
            <w:rPr>
              <w:color w:val="auto"/>
            </w:rPr>
          </w:pPr>
          <w:bookmarkStart w:id="56" w:name="_Toc26986532"/>
          <w:bookmarkEnd w:id="56"/>
          <w:r>
            <w:rPr>
              <w:color w:val="auto"/>
            </w:rPr>
            <w:t>下列术语和定义适用于本文件。</w:t>
          </w:r>
        </w:p>
      </w:sdtContent>
    </w:sdt>
    <w:p w14:paraId="771FE850">
      <w:pPr>
        <w:pStyle w:val="323"/>
        <w:bidi w:val="0"/>
        <w:rPr>
          <w:rFonts w:hint="eastAsia"/>
          <w:color w:val="auto"/>
          <w:lang w:val="en-US" w:eastAsia="zh-CN"/>
        </w:rPr>
      </w:pPr>
    </w:p>
    <w:p w14:paraId="2C0C838A">
      <w:pPr>
        <w:keepNext w:val="0"/>
        <w:keepLines w:val="0"/>
        <w:pageBreakBefore w:val="0"/>
        <w:widowControl/>
        <w:suppressLineNumbers w:val="0"/>
        <w:kinsoku w:val="0"/>
        <w:wordWrap/>
        <w:overflowPunct/>
        <w:topLinePunct w:val="0"/>
        <w:autoSpaceDE w:val="0"/>
        <w:autoSpaceDN w:val="0"/>
        <w:bidi w:val="0"/>
        <w:adjustRightInd/>
        <w:snapToGrid/>
        <w:ind w:firstLine="420" w:firstLineChars="200"/>
        <w:jc w:val="left"/>
        <w:textAlignment w:val="baseline"/>
        <w:rPr>
          <w:rFonts w:hint="eastAsia" w:ascii="黑体" w:hAnsi="黑体" w:eastAsia="黑体" w:cs="黑体"/>
          <w:color w:val="auto"/>
          <w:sz w:val="21"/>
          <w:szCs w:val="21"/>
        </w:rPr>
      </w:pPr>
      <w:r>
        <w:rPr>
          <w:rFonts w:hint="eastAsia" w:ascii="黑体" w:hAnsi="黑体" w:eastAsia="黑体" w:cs="黑体"/>
          <w:snapToGrid w:val="0"/>
          <w:color w:val="auto"/>
          <w:kern w:val="0"/>
          <w:sz w:val="21"/>
          <w:szCs w:val="21"/>
          <w:lang w:val="en-US" w:eastAsia="zh-CN" w:bidi="ar"/>
        </w:rPr>
        <w:t>电气火灾 electric fire</w:t>
      </w:r>
    </w:p>
    <w:p w14:paraId="22704A23">
      <w:pPr>
        <w:pStyle w:val="258"/>
        <w:bidi w:val="0"/>
        <w:rPr>
          <w:rFonts w:hint="eastAsia"/>
          <w:color w:val="auto"/>
          <w:lang w:val="en-US" w:eastAsia="zh-CN"/>
        </w:rPr>
      </w:pPr>
      <w:r>
        <w:rPr>
          <w:rFonts w:hint="eastAsia"/>
          <w:color w:val="auto"/>
          <w:lang w:val="en-US" w:eastAsia="zh-CN"/>
        </w:rPr>
        <w:t>因电气设备或电气线路发生电气故障或使用不当而引发的火灾。</w:t>
      </w:r>
    </w:p>
    <w:p w14:paraId="341F1022">
      <w:pPr>
        <w:pStyle w:val="323"/>
        <w:bidi w:val="0"/>
        <w:rPr>
          <w:rFonts w:hint="eastAsia"/>
          <w:color w:val="auto"/>
          <w:lang w:val="en-US" w:eastAsia="zh-CN"/>
        </w:rPr>
      </w:pPr>
    </w:p>
    <w:p w14:paraId="23D6A582">
      <w:pPr>
        <w:keepNext w:val="0"/>
        <w:keepLines w:val="0"/>
        <w:pageBreakBefore w:val="0"/>
        <w:widowControl/>
        <w:suppressLineNumbers w:val="0"/>
        <w:kinsoku w:val="0"/>
        <w:wordWrap/>
        <w:overflowPunct/>
        <w:topLinePunct w:val="0"/>
        <w:autoSpaceDE w:val="0"/>
        <w:autoSpaceDN w:val="0"/>
        <w:bidi w:val="0"/>
        <w:adjustRightInd/>
        <w:snapToGrid/>
        <w:ind w:firstLine="420" w:firstLineChars="200"/>
        <w:jc w:val="left"/>
        <w:textAlignment w:val="baseline"/>
        <w:rPr>
          <w:rFonts w:hint="eastAsia" w:ascii="黑体" w:hAnsi="黑体" w:eastAsia="黑体" w:cs="黑体"/>
          <w:color w:val="auto"/>
          <w:sz w:val="21"/>
          <w:szCs w:val="21"/>
        </w:rPr>
      </w:pPr>
      <w:r>
        <w:rPr>
          <w:rFonts w:hint="eastAsia" w:ascii="黑体" w:hAnsi="黑体" w:eastAsia="黑体" w:cs="黑体"/>
          <w:snapToGrid w:val="0"/>
          <w:color w:val="auto"/>
          <w:kern w:val="0"/>
          <w:sz w:val="21"/>
          <w:szCs w:val="21"/>
          <w:lang w:val="en-US" w:eastAsia="zh-CN" w:bidi="ar"/>
        </w:rPr>
        <w:t>火灾隐患 fire potential</w:t>
      </w:r>
    </w:p>
    <w:p w14:paraId="0C315A86">
      <w:pPr>
        <w:pStyle w:val="258"/>
        <w:bidi w:val="0"/>
        <w:rPr>
          <w:rFonts w:hint="eastAsia"/>
          <w:color w:val="auto"/>
          <w:lang w:val="en-US" w:eastAsia="zh-CN"/>
        </w:rPr>
      </w:pPr>
      <w:r>
        <w:rPr>
          <w:rFonts w:hint="eastAsia"/>
          <w:color w:val="auto"/>
          <w:lang w:val="en-US" w:eastAsia="zh-CN"/>
        </w:rPr>
        <w:t>违反消防法律法规、不符合消防技术标准，可能导致火灾发生或火灾危害增大的各类潜在不安全因素。</w:t>
      </w:r>
    </w:p>
    <w:p w14:paraId="35ED6433">
      <w:pPr>
        <w:pStyle w:val="323"/>
        <w:bidi w:val="0"/>
        <w:rPr>
          <w:rFonts w:hint="eastAsia"/>
          <w:color w:val="auto"/>
          <w:lang w:val="en-US" w:eastAsia="zh-CN"/>
        </w:rPr>
      </w:pPr>
    </w:p>
    <w:p w14:paraId="2CF14F19">
      <w:pPr>
        <w:keepNext w:val="0"/>
        <w:keepLines w:val="0"/>
        <w:pageBreakBefore w:val="0"/>
        <w:widowControl/>
        <w:suppressLineNumbers w:val="0"/>
        <w:kinsoku w:val="0"/>
        <w:wordWrap/>
        <w:overflowPunct/>
        <w:topLinePunct w:val="0"/>
        <w:autoSpaceDE w:val="0"/>
        <w:autoSpaceDN w:val="0"/>
        <w:bidi w:val="0"/>
        <w:adjustRightInd/>
        <w:snapToGrid/>
        <w:ind w:firstLine="420" w:firstLineChars="200"/>
        <w:jc w:val="left"/>
        <w:textAlignment w:val="baseline"/>
        <w:rPr>
          <w:rFonts w:hint="eastAsia" w:ascii="黑体" w:hAnsi="黑体" w:eastAsia="黑体" w:cs="黑体"/>
          <w:color w:val="auto"/>
          <w:sz w:val="21"/>
          <w:szCs w:val="21"/>
        </w:rPr>
      </w:pPr>
      <w:r>
        <w:rPr>
          <w:rFonts w:hint="eastAsia" w:ascii="黑体" w:hAnsi="黑体" w:eastAsia="黑体" w:cs="黑体"/>
          <w:snapToGrid w:val="0"/>
          <w:color w:val="auto"/>
          <w:kern w:val="0"/>
          <w:sz w:val="21"/>
          <w:szCs w:val="21"/>
          <w:lang w:val="en-US" w:eastAsia="zh-CN" w:bidi="ar"/>
        </w:rPr>
        <w:t>建筑电气工程 building electrical engineering</w:t>
      </w:r>
    </w:p>
    <w:p w14:paraId="06E66B52">
      <w:pPr>
        <w:pStyle w:val="258"/>
        <w:bidi w:val="0"/>
        <w:rPr>
          <w:rFonts w:hint="eastAsia"/>
          <w:color w:val="auto"/>
          <w:lang w:val="en-US" w:eastAsia="zh-CN"/>
        </w:rPr>
      </w:pPr>
      <w:r>
        <w:rPr>
          <w:rFonts w:hint="eastAsia"/>
          <w:color w:val="auto"/>
          <w:lang w:val="en-US" w:eastAsia="zh-CN"/>
        </w:rPr>
        <w:t>为实现一个或几个具体目的且特性相配合的，由电气装置、布线系统和用电设备电气部分构成的组合。</w:t>
      </w:r>
    </w:p>
    <w:p w14:paraId="63EA48FA">
      <w:pPr>
        <w:pStyle w:val="258"/>
        <w:bidi w:val="0"/>
        <w:rPr>
          <w:rFonts w:hint="eastAsia"/>
          <w:color w:val="auto"/>
          <w:lang w:val="en-US" w:eastAsia="zh-CN"/>
        </w:rPr>
      </w:pPr>
    </w:p>
    <w:p w14:paraId="7E328403">
      <w:pPr>
        <w:pStyle w:val="323"/>
        <w:bidi w:val="0"/>
        <w:rPr>
          <w:rStyle w:val="528"/>
          <w:rFonts w:hint="default"/>
          <w:color w:val="auto"/>
          <w:kern w:val="2"/>
          <w:szCs w:val="24"/>
          <w:lang w:val="en-US" w:eastAsia="zh-CN"/>
        </w:rPr>
      </w:pPr>
    </w:p>
    <w:p w14:paraId="13C27E2C">
      <w:pPr>
        <w:keepNext w:val="0"/>
        <w:keepLines w:val="0"/>
        <w:pageBreakBefore w:val="0"/>
        <w:widowControl/>
        <w:suppressLineNumbers w:val="0"/>
        <w:kinsoku/>
        <w:wordWrap/>
        <w:overflowPunct/>
        <w:topLinePunct w:val="0"/>
        <w:autoSpaceDE/>
        <w:autoSpaceDN/>
        <w:bidi w:val="0"/>
        <w:adjustRightInd/>
        <w:snapToGrid/>
        <w:ind w:left="0" w:firstLine="420" w:firstLineChars="200"/>
        <w:jc w:val="left"/>
        <w:textAlignment w:val="auto"/>
        <w:rPr>
          <w:color w:val="auto"/>
        </w:rPr>
      </w:pPr>
      <w:r>
        <w:rPr>
          <w:rFonts w:ascii="黑体" w:hAnsi="宋体" w:eastAsia="黑体" w:cs="黑体"/>
          <w:color w:val="auto"/>
          <w:kern w:val="0"/>
          <w:sz w:val="21"/>
          <w:szCs w:val="21"/>
          <w:lang w:val="en-US" w:eastAsia="zh-CN" w:bidi="ar"/>
        </w:rPr>
        <w:t>电气火灾危险性 electrical fire risk</w:t>
      </w:r>
    </w:p>
    <w:p w14:paraId="5A9AE450">
      <w:pPr>
        <w:keepNext w:val="0"/>
        <w:keepLines w:val="0"/>
        <w:pageBreakBefore w:val="0"/>
        <w:widowControl/>
        <w:suppressLineNumbers w:val="0"/>
        <w:kinsoku/>
        <w:wordWrap/>
        <w:overflowPunct/>
        <w:topLinePunct w:val="0"/>
        <w:autoSpaceDE/>
        <w:autoSpaceDN/>
        <w:bidi w:val="0"/>
        <w:adjustRightInd/>
        <w:snapToGrid/>
        <w:ind w:left="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cs="Times New Roman"/>
          <w:color w:val="auto"/>
          <w:kern w:val="0"/>
          <w:sz w:val="21"/>
          <w:szCs w:val="21"/>
          <w:lang w:val="en-US" w:eastAsia="zh-CN" w:bidi="ar-SA"/>
        </w:rPr>
        <w:t>引发</w:t>
      </w:r>
      <w:r>
        <w:rPr>
          <w:rFonts w:hint="eastAsia" w:ascii="宋体" w:hAnsi="Times New Roman" w:eastAsia="宋体" w:cs="Times New Roman"/>
          <w:color w:val="auto"/>
          <w:kern w:val="0"/>
          <w:sz w:val="21"/>
          <w:szCs w:val="21"/>
          <w:lang w:val="en-US" w:eastAsia="zh-CN" w:bidi="ar-SA"/>
        </w:rPr>
        <w:t>电气火灾的可能性。</w:t>
      </w:r>
    </w:p>
    <w:p w14:paraId="45C3090E">
      <w:pPr>
        <w:pStyle w:val="259"/>
        <w:bidi w:val="0"/>
        <w:rPr>
          <w:color w:val="auto"/>
        </w:rPr>
      </w:pPr>
      <w:bookmarkStart w:id="57" w:name="_Toc32100"/>
      <w:bookmarkStart w:id="58" w:name="_Toc8852"/>
      <w:bookmarkStart w:id="59" w:name="_Toc22458"/>
      <w:bookmarkStart w:id="60" w:name="_Toc19785"/>
      <w:bookmarkStart w:id="61" w:name="_Toc19125"/>
      <w:bookmarkStart w:id="62" w:name="_Toc7159"/>
      <w:bookmarkStart w:id="63" w:name="_Toc5968"/>
      <w:bookmarkStart w:id="64" w:name="_Toc8261"/>
      <w:bookmarkStart w:id="65" w:name="_Toc18880"/>
      <w:bookmarkStart w:id="66" w:name="_Toc11242"/>
      <w:bookmarkStart w:id="67" w:name="_Toc24584"/>
      <w:bookmarkStart w:id="68" w:name="_Toc14535"/>
      <w:bookmarkStart w:id="69" w:name="_Toc23713"/>
      <w:bookmarkStart w:id="70" w:name="_Toc8559"/>
      <w:bookmarkStart w:id="71" w:name="_Toc12815"/>
      <w:bookmarkStart w:id="72" w:name="_Toc7238"/>
      <w:bookmarkStart w:id="73" w:name="_Toc29423"/>
      <w:bookmarkStart w:id="74" w:name="_Toc2848"/>
      <w:bookmarkStart w:id="75" w:name="_Toc24353"/>
      <w:bookmarkStart w:id="76" w:name="_Toc2756"/>
      <w:bookmarkStart w:id="77" w:name="_Toc4153"/>
      <w:bookmarkStart w:id="78" w:name="_Toc29774"/>
      <w:bookmarkStart w:id="79" w:name="_Toc6612"/>
      <w:r>
        <w:rPr>
          <w:rFonts w:hint="eastAsia" w:hAnsi="Times New Roman" w:cs="Times New Roman"/>
          <w:color w:val="auto"/>
          <w:lang w:val="en-US" w:eastAsia="zh-CN"/>
        </w:rPr>
        <w:t>一般规定</w:t>
      </w:r>
      <w:bookmarkEnd w:id="57"/>
      <w:bookmarkEnd w:id="58"/>
      <w:bookmarkEnd w:id="59"/>
      <w:bookmarkEnd w:id="60"/>
      <w:bookmarkEnd w:id="61"/>
      <w:bookmarkEnd w:id="62"/>
      <w:bookmarkEnd w:id="63"/>
      <w:bookmarkEnd w:id="64"/>
      <w:bookmarkEnd w:id="65"/>
      <w:bookmarkEnd w:id="66"/>
      <w:bookmarkEnd w:id="67"/>
      <w:bookmarkEnd w:id="68"/>
    </w:p>
    <w:p w14:paraId="1DC45970">
      <w:pPr>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rPr>
      </w:pPr>
      <w:bookmarkStart w:id="80" w:name="_Toc28854"/>
      <w:r>
        <w:rPr>
          <w:rFonts w:hint="eastAsia" w:ascii="黑体" w:hAnsi="Times New Roman" w:eastAsia="黑体" w:cs="Times New Roman"/>
          <w:color w:val="auto"/>
          <w:sz w:val="21"/>
          <w:szCs w:val="21"/>
          <w:lang w:val="en-US" w:eastAsia="zh-CN" w:bidi="ar-SA"/>
        </w:rPr>
        <w:t>4.1</w:t>
      </w:r>
      <w:bookmarkEnd w:id="80"/>
      <w:r>
        <w:rPr>
          <w:rFonts w:hint="eastAsia" w:ascii="宋体" w:hAnsi="Times New Roman" w:eastAsia="宋体" w:cs="Times New Roman"/>
          <w:color w:val="auto"/>
          <w:sz w:val="21"/>
          <w:lang w:val="en-US" w:eastAsia="zh-CN" w:bidi="ar-SA"/>
        </w:rPr>
        <w:t xml:space="preserve"> </w:t>
      </w:r>
      <w:r>
        <w:rPr>
          <w:rFonts w:hint="eastAsia" w:ascii="宋体" w:cs="Times New Roman"/>
          <w:color w:val="auto"/>
          <w:sz w:val="21"/>
          <w:lang w:val="en-US" w:eastAsia="zh-CN" w:bidi="ar-SA"/>
        </w:rPr>
        <w:t xml:space="preserve"> </w:t>
      </w:r>
      <w:r>
        <w:rPr>
          <w:rFonts w:hint="eastAsia" w:ascii="宋体" w:hAnsi="Times New Roman" w:eastAsia="宋体" w:cs="Times New Roman"/>
          <w:color w:val="auto"/>
          <w:sz w:val="21"/>
          <w:lang w:val="en-US" w:eastAsia="zh-CN" w:bidi="ar-SA"/>
        </w:rPr>
        <w:t>电气装置和</w:t>
      </w:r>
      <w:r>
        <w:rPr>
          <w:rFonts w:hint="eastAsia" w:ascii="宋体" w:cs="Times New Roman"/>
          <w:color w:val="auto"/>
          <w:sz w:val="21"/>
          <w:lang w:val="en-US" w:eastAsia="zh-CN" w:bidi="ar-SA"/>
        </w:rPr>
        <w:t>用电</w:t>
      </w:r>
      <w:r>
        <w:rPr>
          <w:rFonts w:hint="eastAsia" w:ascii="宋体" w:hAnsi="Times New Roman" w:eastAsia="宋体" w:cs="Times New Roman"/>
          <w:color w:val="auto"/>
          <w:sz w:val="21"/>
          <w:lang w:val="en-US" w:eastAsia="zh-CN" w:bidi="ar-SA"/>
        </w:rPr>
        <w:t>设备必须符合国家现行技术标准和设计选型的要求，应具有合格证和检验（测）证书。</w:t>
      </w:r>
    </w:p>
    <w:p w14:paraId="14111024">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Times New Roman" w:eastAsia="宋体" w:cs="Times New Roman"/>
          <w:color w:val="auto"/>
          <w:sz w:val="21"/>
          <w:lang w:val="en-US" w:eastAsia="zh-CN" w:bidi="ar-SA"/>
        </w:rPr>
      </w:pPr>
      <w:bookmarkStart w:id="81" w:name="_Toc28898"/>
      <w:r>
        <w:rPr>
          <w:rFonts w:hint="eastAsia" w:ascii="黑体" w:hAnsi="Times New Roman" w:eastAsia="黑体" w:cs="Times New Roman"/>
          <w:color w:val="auto"/>
          <w:sz w:val="21"/>
          <w:szCs w:val="21"/>
          <w:lang w:val="en-US" w:eastAsia="zh-CN" w:bidi="ar-SA"/>
        </w:rPr>
        <w:t>4.2</w:t>
      </w:r>
      <w:bookmarkEnd w:id="81"/>
      <w:r>
        <w:rPr>
          <w:rFonts w:hint="eastAsia" w:ascii="宋体" w:hAnsi="Times New Roman" w:eastAsia="宋体" w:cs="Times New Roman"/>
          <w:color w:val="auto"/>
          <w:sz w:val="21"/>
          <w:lang w:val="en-US" w:eastAsia="zh-CN" w:bidi="ar-SA"/>
        </w:rPr>
        <w:t xml:space="preserve"> </w:t>
      </w:r>
      <w:r>
        <w:rPr>
          <w:rFonts w:hint="eastAsia" w:ascii="宋体" w:cs="Times New Roman"/>
          <w:color w:val="auto"/>
          <w:sz w:val="21"/>
          <w:lang w:val="en-US" w:eastAsia="zh-CN" w:bidi="ar-SA"/>
        </w:rPr>
        <w:t xml:space="preserve"> </w:t>
      </w:r>
      <w:r>
        <w:rPr>
          <w:rFonts w:hint="eastAsia" w:ascii="宋体" w:hAnsi="Times New Roman" w:eastAsia="宋体" w:cs="Times New Roman"/>
          <w:color w:val="auto"/>
          <w:sz w:val="21"/>
          <w:lang w:val="en-US" w:eastAsia="zh-CN" w:bidi="ar-SA"/>
        </w:rPr>
        <w:t>实行生产许可、安全认证或3C认证的产品应具有生产许可证、产品安全认证或3C认证标志。</w:t>
      </w:r>
    </w:p>
    <w:p w14:paraId="6E5DB9FE">
      <w:pPr>
        <w:keepNext w:val="0"/>
        <w:keepLines w:val="0"/>
        <w:pageBreakBefore w:val="0"/>
        <w:widowControl w:val="0"/>
        <w:kinsoku/>
        <w:wordWrap/>
        <w:overflowPunct/>
        <w:topLinePunct w:val="0"/>
        <w:autoSpaceDE/>
        <w:autoSpaceDN/>
        <w:bidi w:val="0"/>
        <w:adjustRightInd/>
        <w:snapToGrid/>
        <w:textAlignment w:val="auto"/>
        <w:rPr>
          <w:rFonts w:hint="eastAsia" w:ascii="宋体" w:hAnsi="Times New Roman" w:eastAsia="宋体" w:cs="Times New Roman"/>
          <w:color w:val="auto"/>
          <w:sz w:val="21"/>
          <w:lang w:val="en-US" w:eastAsia="zh-CN" w:bidi="ar-SA"/>
        </w:rPr>
      </w:pPr>
      <w:bookmarkStart w:id="82" w:name="_Toc19747"/>
      <w:r>
        <w:rPr>
          <w:rFonts w:hint="eastAsia" w:ascii="黑体" w:hAnsi="Times New Roman" w:eastAsia="黑体" w:cs="Times New Roman"/>
          <w:color w:val="auto"/>
          <w:sz w:val="21"/>
          <w:szCs w:val="21"/>
          <w:lang w:val="en-US" w:eastAsia="zh-CN" w:bidi="ar-SA"/>
        </w:rPr>
        <w:t xml:space="preserve">4.3 </w:t>
      </w:r>
      <w:r>
        <w:rPr>
          <w:rFonts w:hint="eastAsia" w:ascii="宋体" w:cs="Times New Roman"/>
          <w:color w:val="auto"/>
          <w:sz w:val="21"/>
          <w:lang w:val="en-US" w:eastAsia="zh-CN" w:bidi="ar-SA"/>
        </w:rPr>
        <w:t xml:space="preserve"> </w:t>
      </w:r>
      <w:r>
        <w:rPr>
          <w:rFonts w:hint="eastAsia" w:ascii="宋体" w:hAnsi="Times New Roman" w:eastAsia="宋体" w:cs="Times New Roman"/>
          <w:color w:val="auto"/>
          <w:sz w:val="21"/>
          <w:lang w:val="en-US" w:eastAsia="zh-CN" w:bidi="ar-SA"/>
        </w:rPr>
        <w:t>电气装置和</w:t>
      </w:r>
      <w:r>
        <w:rPr>
          <w:rFonts w:hint="eastAsia" w:ascii="宋体" w:cs="Times New Roman"/>
          <w:color w:val="auto"/>
          <w:sz w:val="21"/>
          <w:lang w:val="en-US" w:eastAsia="zh-CN" w:bidi="ar-SA"/>
        </w:rPr>
        <w:t>用电</w:t>
      </w:r>
      <w:r>
        <w:rPr>
          <w:rFonts w:hint="eastAsia" w:ascii="宋体" w:hAnsi="Times New Roman" w:eastAsia="宋体" w:cs="Times New Roman"/>
          <w:color w:val="auto"/>
          <w:sz w:val="21"/>
          <w:lang w:val="en-US" w:eastAsia="zh-CN" w:bidi="ar-SA"/>
        </w:rPr>
        <w:t>设备铭牌标志应齐全、清晰、易见。</w:t>
      </w:r>
      <w:bookmarkEnd w:id="82"/>
    </w:p>
    <w:p w14:paraId="5AEC4A55">
      <w:pPr>
        <w:keepNext w:val="0"/>
        <w:keepLines w:val="0"/>
        <w:pageBreakBefore w:val="0"/>
        <w:widowControl w:val="0"/>
        <w:kinsoku/>
        <w:wordWrap/>
        <w:overflowPunct/>
        <w:topLinePunct w:val="0"/>
        <w:autoSpaceDE/>
        <w:autoSpaceDN/>
        <w:bidi w:val="0"/>
        <w:adjustRightInd/>
        <w:snapToGrid/>
        <w:textAlignment w:val="auto"/>
        <w:rPr>
          <w:rFonts w:hint="eastAsia" w:ascii="宋体" w:hAnsi="Times New Roman" w:eastAsia="宋体" w:cs="Times New Roman"/>
          <w:color w:val="auto"/>
          <w:sz w:val="21"/>
          <w:lang w:val="en-US" w:eastAsia="zh-CN" w:bidi="ar-SA"/>
        </w:rPr>
      </w:pPr>
      <w:r>
        <w:rPr>
          <w:rFonts w:hint="eastAsia" w:ascii="黑体" w:hAnsi="Times New Roman" w:eastAsia="黑体" w:cs="Times New Roman"/>
          <w:color w:val="auto"/>
          <w:sz w:val="21"/>
          <w:szCs w:val="21"/>
          <w:lang w:val="en-US" w:eastAsia="zh-CN" w:bidi="ar-SA"/>
        </w:rPr>
        <w:t xml:space="preserve">4.4 </w:t>
      </w:r>
      <w:r>
        <w:rPr>
          <w:rFonts w:hint="eastAsia" w:ascii="宋体" w:cs="Times New Roman"/>
          <w:color w:val="auto"/>
          <w:sz w:val="21"/>
          <w:lang w:val="en-US" w:eastAsia="zh-CN" w:bidi="ar-SA"/>
        </w:rPr>
        <w:t xml:space="preserve"> </w:t>
      </w:r>
      <w:r>
        <w:rPr>
          <w:rFonts w:hint="eastAsia" w:ascii="宋体" w:hAnsi="Times New Roman" w:eastAsia="宋体" w:cs="Times New Roman"/>
          <w:color w:val="auto"/>
          <w:sz w:val="21"/>
          <w:lang w:val="en-US" w:eastAsia="zh-CN" w:bidi="ar-SA"/>
        </w:rPr>
        <w:t>电气装置和</w:t>
      </w:r>
      <w:r>
        <w:rPr>
          <w:rFonts w:hint="eastAsia" w:ascii="宋体" w:cs="Times New Roman"/>
          <w:color w:val="auto"/>
          <w:sz w:val="21"/>
          <w:lang w:val="en-US" w:eastAsia="zh-CN" w:bidi="ar-SA"/>
        </w:rPr>
        <w:t>用电</w:t>
      </w:r>
      <w:r>
        <w:rPr>
          <w:rFonts w:hint="eastAsia" w:ascii="宋体" w:hAnsi="Times New Roman" w:eastAsia="宋体" w:cs="Times New Roman"/>
          <w:color w:val="auto"/>
          <w:sz w:val="21"/>
          <w:lang w:val="en-US" w:eastAsia="zh-CN" w:bidi="ar-SA"/>
        </w:rPr>
        <w:t>设备的安装环境及消防设施、器材的</w:t>
      </w:r>
      <w:r>
        <w:rPr>
          <w:rFonts w:hint="eastAsia" w:ascii="宋体" w:cs="Times New Roman"/>
          <w:color w:val="auto"/>
          <w:sz w:val="21"/>
          <w:lang w:val="en-US" w:eastAsia="zh-CN" w:bidi="ar-SA"/>
        </w:rPr>
        <w:t>配</w:t>
      </w:r>
      <w:r>
        <w:rPr>
          <w:rFonts w:hint="eastAsia" w:ascii="宋体" w:hAnsi="Times New Roman" w:eastAsia="宋体" w:cs="Times New Roman"/>
          <w:color w:val="auto"/>
          <w:sz w:val="21"/>
          <w:lang w:val="en-US" w:eastAsia="zh-CN" w:bidi="ar-SA"/>
        </w:rPr>
        <w:t>置</w:t>
      </w:r>
      <w:r>
        <w:rPr>
          <w:rFonts w:hint="eastAsia" w:ascii="宋体" w:cs="Times New Roman"/>
          <w:color w:val="auto"/>
          <w:sz w:val="21"/>
          <w:lang w:val="en-US" w:eastAsia="zh-CN" w:bidi="ar-SA"/>
        </w:rPr>
        <w:t>，</w:t>
      </w:r>
      <w:r>
        <w:rPr>
          <w:rFonts w:hint="eastAsia" w:ascii="宋体" w:hAnsi="Times New Roman" w:eastAsia="宋体" w:cs="Times New Roman"/>
          <w:color w:val="auto"/>
          <w:sz w:val="21"/>
          <w:lang w:val="en-US" w:eastAsia="zh-CN" w:bidi="ar-SA"/>
        </w:rPr>
        <w:t>应符合国家现行技术标准</w:t>
      </w:r>
      <w:r>
        <w:rPr>
          <w:rFonts w:hint="eastAsia" w:ascii="宋体" w:cs="Times New Roman"/>
          <w:color w:val="auto"/>
          <w:sz w:val="21"/>
          <w:lang w:val="en-US" w:eastAsia="zh-CN" w:bidi="ar-SA"/>
        </w:rPr>
        <w:t>的要求</w:t>
      </w:r>
      <w:r>
        <w:rPr>
          <w:rFonts w:hint="eastAsia" w:ascii="宋体" w:hAnsi="Times New Roman" w:eastAsia="宋体" w:cs="Times New Roman"/>
          <w:color w:val="auto"/>
          <w:sz w:val="21"/>
          <w:lang w:val="en-US" w:eastAsia="zh-CN" w:bidi="ar-SA"/>
        </w:rPr>
        <w:t>。</w:t>
      </w:r>
    </w:p>
    <w:p w14:paraId="25866EEB">
      <w:pPr>
        <w:keepNext w:val="0"/>
        <w:keepLines w:val="0"/>
        <w:pageBreakBefore w:val="0"/>
        <w:widowControl w:val="0"/>
        <w:kinsoku/>
        <w:wordWrap/>
        <w:overflowPunct/>
        <w:topLinePunct w:val="0"/>
        <w:autoSpaceDE/>
        <w:autoSpaceDN/>
        <w:bidi w:val="0"/>
        <w:adjustRightInd/>
        <w:snapToGrid/>
        <w:textAlignment w:val="auto"/>
        <w:rPr>
          <w:rFonts w:hint="default" w:ascii="宋体" w:hAnsi="Times New Roman" w:eastAsia="宋体" w:cs="Times New Roman"/>
          <w:color w:val="auto"/>
          <w:sz w:val="21"/>
          <w:lang w:val="en-US" w:eastAsia="zh-CN" w:bidi="ar-SA"/>
        </w:rPr>
      </w:pPr>
      <w:r>
        <w:rPr>
          <w:rFonts w:hint="eastAsia" w:ascii="黑体" w:hAnsi="Times New Roman" w:eastAsia="黑体" w:cs="Times New Roman"/>
          <w:color w:val="auto"/>
          <w:sz w:val="21"/>
          <w:szCs w:val="21"/>
          <w:lang w:val="en-US" w:eastAsia="zh-CN" w:bidi="ar-SA"/>
        </w:rPr>
        <w:t>4.5</w:t>
      </w:r>
      <w:r>
        <w:rPr>
          <w:rFonts w:hint="eastAsia" w:ascii="黑体" w:hAnsi="黑体" w:eastAsia="黑体" w:cs="黑体"/>
          <w:color w:val="auto"/>
          <w:sz w:val="21"/>
          <w:lang w:val="en-US" w:eastAsia="zh-CN" w:bidi="ar-SA"/>
        </w:rPr>
        <w:t xml:space="preserve">  </w:t>
      </w:r>
      <w:r>
        <w:rPr>
          <w:rFonts w:hint="eastAsia" w:ascii="宋体" w:hAnsi="Times New Roman" w:eastAsia="宋体" w:cs="Times New Roman"/>
          <w:color w:val="auto"/>
          <w:kern w:val="2"/>
          <w:sz w:val="21"/>
          <w:lang w:val="en-US" w:eastAsia="zh-CN" w:bidi="ar-SA"/>
        </w:rPr>
        <w:t>建筑电气防火检测</w:t>
      </w:r>
      <w:r>
        <w:rPr>
          <w:rFonts w:hint="eastAsia" w:ascii="宋体" w:cs="Times New Roman"/>
          <w:color w:val="auto"/>
          <w:kern w:val="2"/>
          <w:sz w:val="21"/>
          <w:lang w:val="en-US" w:eastAsia="zh-CN" w:bidi="ar-SA"/>
        </w:rPr>
        <w:t>，</w:t>
      </w:r>
      <w:r>
        <w:rPr>
          <w:rFonts w:hint="eastAsia" w:ascii="宋体" w:hAnsi="Times New Roman" w:eastAsia="宋体" w:cs="Times New Roman"/>
          <w:color w:val="auto"/>
          <w:kern w:val="2"/>
          <w:sz w:val="21"/>
          <w:lang w:val="en-US" w:eastAsia="zh-CN" w:bidi="ar-SA"/>
        </w:rPr>
        <w:t>应在电气</w:t>
      </w:r>
      <w:r>
        <w:rPr>
          <w:rFonts w:hint="eastAsia" w:ascii="宋体" w:cs="Times New Roman"/>
          <w:color w:val="auto"/>
          <w:kern w:val="2"/>
          <w:sz w:val="21"/>
          <w:lang w:val="en-US" w:eastAsia="zh-CN" w:bidi="ar-SA"/>
        </w:rPr>
        <w:t>装置</w:t>
      </w:r>
      <w:r>
        <w:rPr>
          <w:rFonts w:hint="eastAsia" w:ascii="宋体" w:hAnsi="Times New Roman" w:eastAsia="宋体" w:cs="Times New Roman"/>
          <w:color w:val="auto"/>
          <w:kern w:val="2"/>
          <w:sz w:val="21"/>
          <w:lang w:val="en-US" w:eastAsia="zh-CN" w:bidi="ar-SA"/>
        </w:rPr>
        <w:t>和线路经过</w:t>
      </w:r>
      <w:r>
        <w:rPr>
          <w:rFonts w:hint="eastAsia" w:ascii="宋体" w:hAnsi="Times New Roman" w:eastAsia="宋体" w:cs="Times New Roman"/>
          <w:color w:val="auto"/>
          <w:spacing w:val="0"/>
          <w:kern w:val="2"/>
          <w:sz w:val="21"/>
          <w:lang w:val="en-US" w:eastAsia="zh-CN" w:bidi="ar-SA"/>
        </w:rPr>
        <w:t>1h</w:t>
      </w:r>
      <w:r>
        <w:rPr>
          <w:rFonts w:hint="eastAsia" w:ascii="宋体" w:hAnsi="Times New Roman" w:eastAsia="宋体" w:cs="Times New Roman"/>
          <w:color w:val="auto"/>
          <w:kern w:val="2"/>
          <w:sz w:val="21"/>
          <w:lang w:val="en-US" w:eastAsia="zh-CN" w:bidi="ar-SA"/>
        </w:rPr>
        <w:t>以上的有载运行，进入正常热稳定工作状态，其温度变化率小于1℃/h后进行。</w:t>
      </w:r>
    </w:p>
    <w:p w14:paraId="6B2B0C2F">
      <w:pPr>
        <w:pStyle w:val="258"/>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黑体" w:hAnsi="Times New Roman" w:eastAsia="宋体" w:cs="Times New Roman"/>
          <w:color w:val="auto"/>
          <w:sz w:val="21"/>
          <w:szCs w:val="21"/>
          <w:lang w:val="en-US" w:eastAsia="zh-CN" w:bidi="ar-SA"/>
        </w:rPr>
      </w:pPr>
      <w:r>
        <w:rPr>
          <w:rFonts w:hint="eastAsia" w:ascii="黑体" w:hAnsi="Times New Roman" w:eastAsia="黑体" w:cs="Times New Roman"/>
          <w:color w:val="auto"/>
          <w:sz w:val="21"/>
          <w:szCs w:val="21"/>
          <w:lang w:val="en-US" w:eastAsia="zh-CN" w:bidi="ar-SA"/>
        </w:rPr>
        <w:t>4.</w:t>
      </w:r>
      <w:r>
        <w:rPr>
          <w:rFonts w:hint="eastAsia" w:ascii="黑体" w:eastAsia="黑体" w:cs="Times New Roman"/>
          <w:color w:val="auto"/>
          <w:sz w:val="21"/>
          <w:szCs w:val="21"/>
          <w:lang w:val="en-US" w:eastAsia="zh-CN" w:bidi="ar-SA"/>
        </w:rPr>
        <w:t xml:space="preserve">6  </w:t>
      </w:r>
      <w:r>
        <w:rPr>
          <w:rFonts w:hint="eastAsia" w:ascii="宋体"/>
          <w:color w:val="auto"/>
        </w:rPr>
        <w:t>检测机构应设置本机构技术负责人和质量负责人，并按照检测对象设置项目负责人，机构人员基本要求见附录</w:t>
      </w:r>
      <w:r>
        <w:rPr>
          <w:rFonts w:hint="eastAsia" w:ascii="宋体"/>
          <w:color w:val="auto"/>
          <w:lang w:val="en-US" w:eastAsia="zh-CN"/>
        </w:rPr>
        <w:t>A。</w:t>
      </w:r>
    </w:p>
    <w:p w14:paraId="14039D97">
      <w:pPr>
        <w:pStyle w:val="258"/>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kern w:val="0"/>
          <w:sz w:val="21"/>
          <w:szCs w:val="21"/>
          <w:lang w:val="en-US" w:eastAsia="zh-CN" w:bidi="ar"/>
        </w:rPr>
      </w:pPr>
      <w:r>
        <w:rPr>
          <w:rFonts w:hint="eastAsia" w:ascii="黑体" w:hAnsi="Times New Roman" w:eastAsia="黑体" w:cs="Times New Roman"/>
          <w:color w:val="auto"/>
          <w:sz w:val="21"/>
          <w:szCs w:val="21"/>
          <w:lang w:val="en-US" w:eastAsia="zh-CN" w:bidi="ar-SA"/>
        </w:rPr>
        <w:t>4.</w:t>
      </w:r>
      <w:r>
        <w:rPr>
          <w:rFonts w:hint="eastAsia" w:ascii="黑体" w:eastAsia="黑体" w:cs="Times New Roman"/>
          <w:color w:val="auto"/>
          <w:sz w:val="21"/>
          <w:szCs w:val="21"/>
          <w:lang w:val="en-US" w:eastAsia="zh-CN" w:bidi="ar-SA"/>
        </w:rPr>
        <w:t xml:space="preserve">7  </w:t>
      </w:r>
      <w:r>
        <w:rPr>
          <w:rFonts w:hint="eastAsia" w:ascii="宋体" w:hAnsi="宋体" w:eastAsia="宋体" w:cs="宋体"/>
          <w:color w:val="auto"/>
          <w:kern w:val="0"/>
          <w:sz w:val="21"/>
          <w:szCs w:val="21"/>
          <w:lang w:val="en-US" w:eastAsia="zh-CN" w:bidi="ar"/>
        </w:rPr>
        <w:t>检测仪器的基本配置和主要技术性能参数见附录</w:t>
      </w:r>
      <w:r>
        <w:rPr>
          <w:rFonts w:hint="eastAsia" w:hAnsi="宋体" w:cs="宋体"/>
          <w:color w:val="auto"/>
          <w:kern w:val="0"/>
          <w:sz w:val="21"/>
          <w:szCs w:val="21"/>
          <w:lang w:val="en-US" w:eastAsia="zh-CN" w:bidi="ar"/>
        </w:rPr>
        <w:t>E</w:t>
      </w:r>
      <w:r>
        <w:rPr>
          <w:rFonts w:hint="eastAsia" w:ascii="宋体" w:hAnsi="宋体" w:eastAsia="宋体" w:cs="宋体"/>
          <w:color w:val="auto"/>
          <w:kern w:val="0"/>
          <w:sz w:val="21"/>
          <w:szCs w:val="21"/>
          <w:lang w:val="en-US" w:eastAsia="zh-CN" w:bidi="ar"/>
        </w:rPr>
        <w:t>。</w:t>
      </w:r>
    </w:p>
    <w:p w14:paraId="501800F9">
      <w:pPr>
        <w:pStyle w:val="258"/>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Times New Roman" w:eastAsia="宋体" w:cs="Times New Roman"/>
          <w:color w:val="auto"/>
          <w:sz w:val="21"/>
          <w:lang w:val="en-US" w:eastAsia="zh-CN" w:bidi="ar-SA"/>
        </w:rPr>
      </w:pPr>
      <w:r>
        <w:rPr>
          <w:rFonts w:hint="eastAsia" w:ascii="黑体" w:hAnsi="Times New Roman" w:eastAsia="黑体" w:cs="Times New Roman"/>
          <w:color w:val="auto"/>
          <w:sz w:val="21"/>
          <w:szCs w:val="21"/>
          <w:lang w:val="en-US" w:eastAsia="zh-CN" w:bidi="ar-SA"/>
        </w:rPr>
        <w:t>4.</w:t>
      </w:r>
      <w:r>
        <w:rPr>
          <w:rFonts w:hint="eastAsia" w:ascii="黑体" w:eastAsia="黑体" w:cs="Times New Roman"/>
          <w:color w:val="auto"/>
          <w:sz w:val="21"/>
          <w:szCs w:val="21"/>
          <w:lang w:val="en-US" w:eastAsia="zh-CN" w:bidi="ar-SA"/>
        </w:rPr>
        <w:t>8</w:t>
      </w:r>
      <w:r>
        <w:rPr>
          <w:rFonts w:hint="eastAsia" w:ascii="宋体" w:hAnsi="Times New Roman" w:eastAsia="宋体" w:cs="Times New Roman"/>
          <w:color w:val="auto"/>
          <w:sz w:val="21"/>
          <w:lang w:val="en-US" w:eastAsia="zh-CN" w:bidi="ar-SA"/>
        </w:rPr>
        <w:t xml:space="preserve"> </w:t>
      </w:r>
      <w:r>
        <w:rPr>
          <w:rFonts w:hint="eastAsia" w:ascii="宋体" w:cs="Times New Roman"/>
          <w:color w:val="auto"/>
          <w:sz w:val="21"/>
          <w:lang w:val="en-US" w:eastAsia="zh-CN" w:bidi="ar-SA"/>
        </w:rPr>
        <w:t xml:space="preserve"> </w:t>
      </w:r>
      <w:r>
        <w:rPr>
          <w:rFonts w:hint="eastAsia" w:ascii="宋体" w:hAnsi="Times New Roman" w:eastAsia="宋体" w:cs="Times New Roman"/>
          <w:color w:val="auto"/>
          <w:sz w:val="21"/>
          <w:lang w:val="en-US" w:eastAsia="zh-CN" w:bidi="ar-SA"/>
        </w:rPr>
        <w:t>检测用的仪器等，应按国家现行有关规程校准或检定合格。</w:t>
      </w:r>
    </w:p>
    <w:p w14:paraId="29EE7134">
      <w:pPr>
        <w:pStyle w:val="258"/>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default" w:ascii="宋体" w:hAnsi="Times New Roman" w:eastAsia="宋体" w:cs="Times New Roman"/>
          <w:color w:val="auto"/>
          <w:sz w:val="21"/>
          <w:lang w:val="en-US" w:eastAsia="zh-CN" w:bidi="ar-SA"/>
        </w:rPr>
      </w:pPr>
      <w:r>
        <w:rPr>
          <w:rFonts w:hint="eastAsia" w:ascii="黑体" w:hAnsi="Times New Roman" w:eastAsia="黑体" w:cs="Times New Roman"/>
          <w:color w:val="auto"/>
          <w:sz w:val="21"/>
          <w:szCs w:val="21"/>
          <w:lang w:val="en-US" w:eastAsia="zh-CN" w:bidi="ar-SA"/>
        </w:rPr>
        <w:t>4.</w:t>
      </w:r>
      <w:r>
        <w:rPr>
          <w:rFonts w:hint="eastAsia" w:ascii="黑体" w:eastAsia="黑体" w:cs="Times New Roman"/>
          <w:color w:val="auto"/>
          <w:sz w:val="21"/>
          <w:szCs w:val="21"/>
          <w:lang w:val="en-US" w:eastAsia="zh-CN" w:bidi="ar-SA"/>
        </w:rPr>
        <w:t xml:space="preserve">9  </w:t>
      </w:r>
      <w:r>
        <w:rPr>
          <w:rFonts w:hint="eastAsia" w:cs="Times New Roman"/>
          <w:color w:val="auto"/>
          <w:sz w:val="21"/>
          <w:szCs w:val="22"/>
          <w:lang w:val="en-US" w:eastAsia="zh-CN" w:bidi="ar-SA"/>
        </w:rPr>
        <w:t>除有特殊规定外，建议</w:t>
      </w:r>
      <w:r>
        <w:rPr>
          <w:rFonts w:hint="eastAsia" w:ascii="宋体" w:hAnsi="Times New Roman" w:eastAsia="宋体" w:cs="Times New Roman"/>
          <w:color w:val="auto"/>
          <w:sz w:val="21"/>
          <w:szCs w:val="22"/>
          <w:lang w:val="en-US" w:eastAsia="zh-CN" w:bidi="ar-SA"/>
        </w:rPr>
        <w:t>建筑电气</w:t>
      </w:r>
      <w:r>
        <w:rPr>
          <w:rFonts w:hint="eastAsia" w:cs="Times New Roman"/>
          <w:color w:val="auto"/>
          <w:sz w:val="21"/>
          <w:szCs w:val="22"/>
          <w:lang w:val="en-US" w:eastAsia="zh-CN" w:bidi="ar-SA"/>
        </w:rPr>
        <w:t>防火检测周期为1年。</w:t>
      </w:r>
    </w:p>
    <w:p w14:paraId="5C8186F3">
      <w:pPr>
        <w:pStyle w:val="258"/>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Times New Roman" w:eastAsia="宋体" w:cs="Times New Roman"/>
          <w:color w:val="auto"/>
          <w:sz w:val="21"/>
          <w:lang w:val="en-US" w:eastAsia="zh-CN" w:bidi="ar-SA"/>
        </w:rPr>
      </w:pPr>
      <w:r>
        <w:rPr>
          <w:rFonts w:hint="eastAsia" w:ascii="黑体" w:hAnsi="Times New Roman" w:eastAsia="黑体" w:cs="Times New Roman"/>
          <w:color w:val="auto"/>
          <w:sz w:val="21"/>
          <w:szCs w:val="21"/>
          <w:lang w:val="en-US" w:eastAsia="zh-CN" w:bidi="ar-SA"/>
        </w:rPr>
        <w:t>4.</w:t>
      </w:r>
      <w:r>
        <w:rPr>
          <w:rFonts w:hint="eastAsia" w:ascii="黑体" w:eastAsia="黑体" w:cs="Times New Roman"/>
          <w:color w:val="auto"/>
          <w:sz w:val="21"/>
          <w:szCs w:val="21"/>
          <w:lang w:val="en-US" w:eastAsia="zh-CN" w:bidi="ar-SA"/>
        </w:rPr>
        <w:t>10</w:t>
      </w:r>
      <w:r>
        <w:rPr>
          <w:rFonts w:hint="eastAsia" w:ascii="宋体" w:hAnsi="Times New Roman" w:eastAsia="宋体" w:cs="Times New Roman"/>
          <w:color w:val="auto"/>
          <w:sz w:val="21"/>
          <w:lang w:val="en-US" w:eastAsia="zh-CN" w:bidi="ar-SA"/>
        </w:rPr>
        <w:t xml:space="preserve"> </w:t>
      </w:r>
      <w:r>
        <w:rPr>
          <w:rFonts w:hint="eastAsia" w:ascii="宋体" w:cs="Times New Roman"/>
          <w:color w:val="auto"/>
          <w:sz w:val="21"/>
          <w:lang w:val="en-US" w:eastAsia="zh-CN" w:bidi="ar-SA"/>
        </w:rPr>
        <w:t xml:space="preserve"> </w:t>
      </w:r>
      <w:r>
        <w:rPr>
          <w:rFonts w:hint="eastAsia" w:ascii="宋体" w:hAnsi="Times New Roman" w:eastAsia="宋体" w:cs="Times New Roman"/>
          <w:color w:val="auto"/>
          <w:sz w:val="21"/>
          <w:lang w:val="en-US" w:eastAsia="zh-CN" w:bidi="ar-SA"/>
        </w:rPr>
        <w:t>建筑电气</w:t>
      </w:r>
      <w:r>
        <w:rPr>
          <w:rFonts w:hint="eastAsia" w:cs="Times New Roman"/>
          <w:color w:val="auto"/>
          <w:sz w:val="21"/>
          <w:lang w:val="en-US" w:eastAsia="zh-CN" w:bidi="ar-SA"/>
        </w:rPr>
        <w:t>工程</w:t>
      </w:r>
      <w:r>
        <w:rPr>
          <w:rFonts w:hint="eastAsia" w:ascii="宋体" w:hAnsi="Times New Roman" w:eastAsia="宋体" w:cs="Times New Roman"/>
          <w:color w:val="auto"/>
          <w:sz w:val="21"/>
          <w:lang w:val="en-US" w:eastAsia="zh-CN" w:bidi="ar-SA"/>
        </w:rPr>
        <w:t>除应符合本标准外，还应符合</w:t>
      </w:r>
      <w:r>
        <w:rPr>
          <w:rFonts w:hint="eastAsia" w:ascii="宋体" w:cs="Times New Roman"/>
          <w:color w:val="auto"/>
          <w:sz w:val="21"/>
          <w:lang w:val="en-US" w:eastAsia="zh-CN" w:bidi="ar-SA"/>
        </w:rPr>
        <w:t>国家现行的有关强制性规范和</w:t>
      </w:r>
      <w:r>
        <w:rPr>
          <w:rFonts w:hint="eastAsia" w:ascii="宋体" w:hAnsi="Times New Roman" w:eastAsia="宋体" w:cs="Times New Roman"/>
          <w:color w:val="auto"/>
          <w:sz w:val="21"/>
          <w:lang w:val="en-US" w:eastAsia="zh-CN" w:bidi="ar-SA"/>
        </w:rPr>
        <w:t>标准的规定。</w:t>
      </w:r>
    </w:p>
    <w:p w14:paraId="33255DF1">
      <w:pPr>
        <w:pStyle w:val="259"/>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bookmarkStart w:id="83" w:name="_Toc4572"/>
      <w:bookmarkStart w:id="84" w:name="_Toc19113"/>
      <w:bookmarkStart w:id="85" w:name="_Toc1210"/>
      <w:bookmarkStart w:id="86" w:name="_Toc19568"/>
      <w:bookmarkStart w:id="87" w:name="_Toc10968"/>
      <w:bookmarkStart w:id="88" w:name="_Toc14757"/>
      <w:bookmarkStart w:id="89" w:name="_Toc14025"/>
      <w:bookmarkStart w:id="90" w:name="_Toc3754"/>
      <w:bookmarkStart w:id="91" w:name="_Toc7943"/>
      <w:bookmarkStart w:id="92" w:name="_Toc22008"/>
      <w:bookmarkStart w:id="93" w:name="_Toc14353"/>
      <w:bookmarkStart w:id="94" w:name="_Toc18536"/>
      <w:r>
        <w:rPr>
          <w:rFonts w:hint="eastAsia" w:hAnsi="Times New Roman" w:cs="Times New Roman"/>
          <w:color w:val="auto"/>
          <w:lang w:val="en-US" w:eastAsia="zh-CN"/>
        </w:rPr>
        <w:t>检测</w:t>
      </w:r>
      <w:r>
        <w:rPr>
          <w:rFonts w:hint="eastAsia" w:cs="Times New Roman"/>
          <w:color w:val="auto"/>
          <w:lang w:val="en-US" w:eastAsia="zh-CN"/>
        </w:rPr>
        <w:t>流</w:t>
      </w:r>
      <w:r>
        <w:rPr>
          <w:rFonts w:hint="eastAsia" w:hAnsi="Times New Roman" w:cs="Times New Roman"/>
          <w:color w:val="auto"/>
          <w:lang w:val="en-US" w:eastAsia="zh-CN"/>
        </w:rPr>
        <w:t>程</w:t>
      </w:r>
      <w:bookmarkEnd w:id="83"/>
      <w:bookmarkEnd w:id="84"/>
      <w:bookmarkEnd w:id="85"/>
      <w:bookmarkEnd w:id="86"/>
      <w:bookmarkEnd w:id="87"/>
      <w:bookmarkEnd w:id="88"/>
      <w:bookmarkEnd w:id="89"/>
      <w:bookmarkEnd w:id="90"/>
      <w:bookmarkEnd w:id="91"/>
      <w:bookmarkEnd w:id="92"/>
      <w:bookmarkEnd w:id="93"/>
      <w:bookmarkEnd w:id="94"/>
    </w:p>
    <w:p w14:paraId="5791FFC1">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2"/>
        <w:rPr>
          <w:rFonts w:hint="eastAsia" w:ascii="黑体" w:hAnsi="黑体" w:eastAsia="黑体" w:cs="黑体"/>
          <w:snapToGrid w:val="0"/>
          <w:color w:val="auto"/>
          <w:spacing w:val="8"/>
          <w:kern w:val="0"/>
          <w:sz w:val="21"/>
          <w:szCs w:val="21"/>
          <w:highlight w:val="none"/>
          <w:lang w:val="en-US" w:eastAsia="zh-CN"/>
        </w:rPr>
      </w:pPr>
      <w:bookmarkStart w:id="95" w:name="_Toc10346"/>
      <w:bookmarkStart w:id="96" w:name="_Toc11466"/>
      <w:bookmarkStart w:id="97" w:name="_Toc22562"/>
      <w:bookmarkStart w:id="98" w:name="_Toc8710"/>
      <w:bookmarkStart w:id="99" w:name="_Toc27619"/>
      <w:bookmarkStart w:id="100" w:name="_Toc13044"/>
      <w:bookmarkStart w:id="101" w:name="_Toc18922"/>
      <w:bookmarkStart w:id="102" w:name="_Toc6906"/>
      <w:bookmarkStart w:id="103" w:name="_Toc6928"/>
      <w:bookmarkStart w:id="104" w:name="_Toc10002"/>
      <w:bookmarkStart w:id="105" w:name="_Toc26032"/>
      <w:bookmarkStart w:id="106" w:name="_Toc1394"/>
      <w:bookmarkStart w:id="107" w:name="_Toc928"/>
      <w:bookmarkStart w:id="108" w:name="_Toc23962"/>
      <w:bookmarkStart w:id="109" w:name="_Toc15969"/>
      <w:bookmarkStart w:id="110" w:name="_Toc510"/>
      <w:bookmarkStart w:id="111" w:name="_Toc24103"/>
      <w:bookmarkStart w:id="112" w:name="_Toc9458"/>
      <w:bookmarkStart w:id="113" w:name="_Toc32463"/>
      <w:bookmarkStart w:id="114" w:name="_Toc20508"/>
      <w:bookmarkStart w:id="115" w:name="_Toc15795"/>
      <w:bookmarkStart w:id="116" w:name="_Toc2865"/>
      <w:bookmarkStart w:id="117" w:name="_Toc12842"/>
      <w:bookmarkStart w:id="118" w:name="_Toc21374"/>
      <w:bookmarkStart w:id="119" w:name="_Toc14942"/>
      <w:r>
        <w:rPr>
          <w:rFonts w:hint="eastAsia" w:hAnsi="黑体" w:cs="黑体"/>
          <w:snapToGrid w:val="0"/>
          <w:color w:val="auto"/>
          <w:spacing w:val="8"/>
          <w:kern w:val="0"/>
          <w:sz w:val="21"/>
          <w:szCs w:val="21"/>
          <w:highlight w:val="none"/>
          <w:lang w:val="en-US" w:eastAsia="zh-CN"/>
        </w:rPr>
        <w:t>5</w:t>
      </w:r>
      <w:r>
        <w:rPr>
          <w:rFonts w:hint="eastAsia" w:ascii="黑体" w:hAnsi="黑体" w:eastAsia="黑体" w:cs="黑体"/>
          <w:snapToGrid w:val="0"/>
          <w:color w:val="auto"/>
          <w:spacing w:val="8"/>
          <w:kern w:val="0"/>
          <w:sz w:val="21"/>
          <w:szCs w:val="21"/>
          <w:highlight w:val="none"/>
          <w:lang w:val="en-US" w:eastAsia="zh-CN"/>
        </w:rPr>
        <w:t xml:space="preserve">.1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检测流程</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1996F27">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3"/>
        <w:rPr>
          <w:rFonts w:hint="eastAsia" w:ascii="黑体" w:hAnsi="黑体" w:eastAsia="黑体" w:cs="黑体"/>
          <w:snapToGrid w:val="0"/>
          <w:color w:val="auto"/>
          <w:spacing w:val="8"/>
          <w:kern w:val="0"/>
          <w:sz w:val="21"/>
          <w:szCs w:val="21"/>
          <w:highlight w:val="none"/>
          <w:lang w:val="en-US" w:eastAsia="zh-CN"/>
        </w:rPr>
      </w:pPr>
      <w:bookmarkStart w:id="120" w:name="_Toc16723"/>
      <w:bookmarkStart w:id="121" w:name="_Toc12048"/>
      <w:r>
        <w:rPr>
          <w:rFonts w:hint="eastAsia" w:hAnsi="黑体" w:cs="黑体"/>
          <w:snapToGrid w:val="0"/>
          <w:color w:val="auto"/>
          <w:spacing w:val="8"/>
          <w:kern w:val="0"/>
          <w:sz w:val="21"/>
          <w:szCs w:val="21"/>
          <w:highlight w:val="none"/>
          <w:lang w:val="en-US" w:eastAsia="zh-CN"/>
        </w:rPr>
        <w:t>5</w:t>
      </w:r>
      <w:r>
        <w:rPr>
          <w:rFonts w:hint="eastAsia" w:ascii="黑体" w:hAnsi="黑体" w:eastAsia="黑体" w:cs="黑体"/>
          <w:snapToGrid w:val="0"/>
          <w:color w:val="auto"/>
          <w:spacing w:val="8"/>
          <w:kern w:val="0"/>
          <w:sz w:val="21"/>
          <w:szCs w:val="21"/>
          <w:highlight w:val="none"/>
          <w:lang w:val="en-US" w:eastAsia="zh-CN"/>
        </w:rPr>
        <w:t xml:space="preserve">.1.1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接受委托</w:t>
      </w:r>
      <w:bookmarkEnd w:id="120"/>
      <w:bookmarkEnd w:id="121"/>
      <w:r>
        <w:rPr>
          <w:rFonts w:hint="eastAsia" w:ascii="黑体" w:hAnsi="黑体" w:eastAsia="黑体" w:cs="黑体"/>
          <w:snapToGrid w:val="0"/>
          <w:color w:val="auto"/>
          <w:spacing w:val="8"/>
          <w:kern w:val="0"/>
          <w:sz w:val="21"/>
          <w:szCs w:val="21"/>
          <w:highlight w:val="none"/>
          <w:lang w:val="en-US" w:eastAsia="zh-CN"/>
        </w:rPr>
        <w:t xml:space="preserve"> </w:t>
      </w:r>
    </w:p>
    <w:p w14:paraId="559BB889">
      <w:pPr>
        <w:keepNext w:val="0"/>
        <w:keepLines w:val="0"/>
        <w:pageBreakBefore w:val="0"/>
        <w:widowControl/>
        <w:tabs>
          <w:tab w:val="right" w:leader="dot" w:pos="9334"/>
        </w:tabs>
        <w:kinsoku w:val="0"/>
        <w:wordWrap/>
        <w:overflowPunct/>
        <w:topLinePunct w:val="0"/>
        <w:autoSpaceDE w:val="0"/>
        <w:autoSpaceDN w:val="0"/>
        <w:bidi w:val="0"/>
        <w:adjustRightInd/>
        <w:snapToGrid/>
        <w:spacing w:line="240" w:lineRule="auto"/>
        <w:ind w:left="0"/>
        <w:jc w:val="left"/>
        <w:textAlignment w:val="baseline"/>
        <w:rPr>
          <w:rFonts w:hint="eastAsia" w:ascii="宋体" w:hAnsi="宋体" w:eastAsia="宋体" w:cs="宋体"/>
          <w:color w:val="auto"/>
          <w:spacing w:val="11"/>
          <w:sz w:val="21"/>
          <w:szCs w:val="21"/>
          <w:highlight w:val="none"/>
          <w:lang w:val="en-US" w:eastAsia="zh-CN"/>
        </w:rPr>
      </w:pPr>
      <w:r>
        <w:rPr>
          <w:rFonts w:hint="eastAsia" w:ascii="黑体" w:hAnsi="黑体" w:eastAsia="黑体" w:cs="黑体"/>
          <w:snapToGrid w:val="0"/>
          <w:color w:val="auto"/>
          <w:kern w:val="0"/>
          <w:sz w:val="21"/>
          <w:szCs w:val="21"/>
          <w:lang w:val="en-US" w:eastAsia="zh-CN" w:bidi="ar"/>
        </w:rPr>
        <w:t>5.1.1.1</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 xml:space="preserve"> 检测机构接受委托开展电气防火检测时，应了解委托方的检测需求，并对检测能力进行评估。</w:t>
      </w:r>
      <w:r>
        <w:rPr>
          <w:rFonts w:hint="eastAsia" w:ascii="宋体" w:hAnsi="宋体" w:eastAsia="宋体" w:cs="宋体"/>
          <w:color w:val="auto"/>
          <w:spacing w:val="11"/>
          <w:sz w:val="21"/>
          <w:szCs w:val="21"/>
          <w:highlight w:val="none"/>
          <w:lang w:val="en-US" w:eastAsia="zh-CN"/>
        </w:rPr>
        <w:t xml:space="preserve"> </w:t>
      </w:r>
    </w:p>
    <w:p w14:paraId="30EEEDF9">
      <w:pPr>
        <w:keepNext w:val="0"/>
        <w:keepLines w:val="0"/>
        <w:pageBreakBefore w:val="0"/>
        <w:widowControl/>
        <w:tabs>
          <w:tab w:val="right" w:leader="dot" w:pos="9334"/>
        </w:tabs>
        <w:kinsoku w:val="0"/>
        <w:wordWrap/>
        <w:overflowPunct/>
        <w:topLinePunct w:val="0"/>
        <w:autoSpaceDE w:val="0"/>
        <w:autoSpaceDN w:val="0"/>
        <w:bidi w:val="0"/>
        <w:adjustRightInd/>
        <w:snapToGrid/>
        <w:spacing w:line="240" w:lineRule="auto"/>
        <w:ind w:left="0"/>
        <w:jc w:val="left"/>
        <w:textAlignment w:val="baseline"/>
        <w:rPr>
          <w:rFonts w:hint="eastAsia" w:ascii="宋体" w:hAnsi="宋体" w:eastAsia="宋体" w:cs="宋体"/>
          <w:color w:val="auto"/>
          <w:spacing w:val="11"/>
          <w:sz w:val="22"/>
          <w:szCs w:val="22"/>
          <w:highlight w:val="none"/>
          <w:lang w:val="en-US" w:eastAsia="zh-CN"/>
        </w:rPr>
      </w:pPr>
      <w:r>
        <w:rPr>
          <w:rFonts w:hint="eastAsia" w:ascii="黑体" w:hAnsi="黑体" w:eastAsia="黑体" w:cs="黑体"/>
          <w:snapToGrid w:val="0"/>
          <w:color w:val="auto"/>
          <w:kern w:val="0"/>
          <w:sz w:val="21"/>
          <w:szCs w:val="21"/>
          <w:lang w:val="en-US" w:eastAsia="zh-CN" w:bidi="ar"/>
        </w:rPr>
        <w:t>5.1.1.2</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检测机构接受委托后，检测合同</w:t>
      </w:r>
      <w:r>
        <w:rPr>
          <w:rFonts w:hint="eastAsia" w:ascii="宋体" w:hAnsi="宋体" w:cs="宋体"/>
          <w:color w:val="auto"/>
          <w:kern w:val="0"/>
          <w:sz w:val="21"/>
          <w:szCs w:val="21"/>
          <w:lang w:val="en-US" w:eastAsia="zh-CN" w:bidi="ar"/>
        </w:rPr>
        <w:t>应</w:t>
      </w:r>
      <w:r>
        <w:rPr>
          <w:rFonts w:hint="eastAsia" w:ascii="宋体" w:hAnsi="宋体" w:eastAsia="宋体" w:cs="宋体"/>
          <w:color w:val="auto"/>
          <w:kern w:val="0"/>
          <w:sz w:val="21"/>
          <w:szCs w:val="21"/>
          <w:lang w:val="en-US" w:eastAsia="zh-CN" w:bidi="ar"/>
        </w:rPr>
        <w:t>明确检测对象、检测范围、检测项目、检测标准、检测时限等。</w:t>
      </w:r>
      <w:r>
        <w:rPr>
          <w:rFonts w:hint="eastAsia" w:ascii="宋体" w:hAnsi="宋体" w:eastAsia="宋体" w:cs="宋体"/>
          <w:color w:val="auto"/>
          <w:spacing w:val="11"/>
          <w:sz w:val="22"/>
          <w:szCs w:val="22"/>
          <w:highlight w:val="none"/>
          <w:lang w:val="en-US" w:eastAsia="zh-CN"/>
        </w:rPr>
        <w:t xml:space="preserve"> </w:t>
      </w:r>
    </w:p>
    <w:p w14:paraId="3F0CFE45">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3"/>
        <w:rPr>
          <w:rFonts w:hint="eastAsia" w:ascii="黑体" w:hAnsi="黑体" w:eastAsia="黑体" w:cs="黑体"/>
          <w:snapToGrid w:val="0"/>
          <w:color w:val="auto"/>
          <w:spacing w:val="8"/>
          <w:kern w:val="0"/>
          <w:sz w:val="21"/>
          <w:szCs w:val="21"/>
          <w:highlight w:val="none"/>
          <w:lang w:val="en-US" w:eastAsia="zh-CN"/>
        </w:rPr>
      </w:pPr>
      <w:bookmarkStart w:id="122" w:name="_Toc7618"/>
      <w:bookmarkStart w:id="123" w:name="_Toc30396"/>
      <w:r>
        <w:rPr>
          <w:rFonts w:hint="eastAsia" w:hAnsi="黑体" w:cs="黑体"/>
          <w:snapToGrid w:val="0"/>
          <w:color w:val="auto"/>
          <w:spacing w:val="8"/>
          <w:kern w:val="0"/>
          <w:sz w:val="21"/>
          <w:szCs w:val="21"/>
          <w:highlight w:val="none"/>
          <w:lang w:val="en-US" w:eastAsia="zh-CN"/>
        </w:rPr>
        <w:t>5</w:t>
      </w:r>
      <w:r>
        <w:rPr>
          <w:rFonts w:hint="eastAsia" w:ascii="黑体" w:hAnsi="黑体" w:eastAsia="黑体" w:cs="黑体"/>
          <w:snapToGrid w:val="0"/>
          <w:color w:val="auto"/>
          <w:spacing w:val="8"/>
          <w:kern w:val="0"/>
          <w:sz w:val="21"/>
          <w:szCs w:val="21"/>
          <w:highlight w:val="none"/>
          <w:lang w:val="en-US" w:eastAsia="zh-CN"/>
        </w:rPr>
        <w:t xml:space="preserve">.1.2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制定方案</w:t>
      </w:r>
      <w:bookmarkEnd w:id="122"/>
      <w:bookmarkEnd w:id="123"/>
      <w:r>
        <w:rPr>
          <w:rFonts w:hint="eastAsia" w:ascii="黑体" w:hAnsi="黑体" w:eastAsia="黑体" w:cs="黑体"/>
          <w:snapToGrid w:val="0"/>
          <w:color w:val="auto"/>
          <w:spacing w:val="8"/>
          <w:kern w:val="0"/>
          <w:sz w:val="21"/>
          <w:szCs w:val="21"/>
          <w:highlight w:val="none"/>
          <w:lang w:val="en-US" w:eastAsia="zh-CN"/>
        </w:rPr>
        <w:t xml:space="preserve"> </w:t>
      </w:r>
    </w:p>
    <w:p w14:paraId="41FEDEDB">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color w:val="auto"/>
          <w:spacing w:val="11"/>
          <w:sz w:val="21"/>
          <w:szCs w:val="21"/>
          <w:highlight w:val="none"/>
          <w:lang w:val="en-US" w:eastAsia="zh-CN"/>
        </w:rPr>
      </w:pPr>
      <w:r>
        <w:rPr>
          <w:rFonts w:hint="eastAsia" w:ascii="黑体" w:hAnsi="黑体" w:eastAsia="黑体" w:cs="黑体"/>
          <w:snapToGrid w:val="0"/>
          <w:color w:val="auto"/>
          <w:kern w:val="0"/>
          <w:sz w:val="21"/>
          <w:szCs w:val="21"/>
          <w:lang w:val="en-US" w:eastAsia="zh-CN" w:bidi="ar"/>
        </w:rPr>
        <w:t>5.1.2.1</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检测机构开展现场检测前应按照检测对象的实际情况，提前勘察现场，编制检测方案。</w:t>
      </w:r>
      <w:r>
        <w:rPr>
          <w:rFonts w:hint="eastAsia" w:ascii="宋体" w:hAnsi="宋体" w:eastAsia="宋体" w:cs="宋体"/>
          <w:color w:val="auto"/>
          <w:spacing w:val="11"/>
          <w:sz w:val="21"/>
          <w:szCs w:val="21"/>
          <w:highlight w:val="none"/>
          <w:lang w:val="en-US" w:eastAsia="zh-CN"/>
        </w:rPr>
        <w:t xml:space="preserve"> </w:t>
      </w:r>
    </w:p>
    <w:p w14:paraId="1FC4B74E">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color w:val="auto"/>
          <w:spacing w:val="11"/>
          <w:sz w:val="21"/>
          <w:szCs w:val="21"/>
          <w:highlight w:val="none"/>
          <w:lang w:val="en-US" w:eastAsia="zh-CN"/>
        </w:rPr>
      </w:pPr>
      <w:r>
        <w:rPr>
          <w:rFonts w:hint="eastAsia" w:ascii="黑体" w:hAnsi="黑体" w:eastAsia="黑体" w:cs="黑体"/>
          <w:snapToGrid w:val="0"/>
          <w:color w:val="auto"/>
          <w:kern w:val="0"/>
          <w:sz w:val="21"/>
          <w:szCs w:val="21"/>
          <w:lang w:val="en-US" w:eastAsia="zh-CN" w:bidi="ar"/>
        </w:rPr>
        <w:t>5.1.2.2</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检测方案制定前，</w:t>
      </w:r>
      <w:r>
        <w:rPr>
          <w:rFonts w:hint="eastAsia" w:ascii="宋体" w:hAnsi="宋体" w:cs="宋体"/>
          <w:color w:val="auto"/>
          <w:kern w:val="0"/>
          <w:sz w:val="21"/>
          <w:szCs w:val="21"/>
          <w:lang w:val="en-US" w:eastAsia="zh-CN" w:bidi="ar"/>
        </w:rPr>
        <w:t>项目负责人</w:t>
      </w:r>
      <w:r>
        <w:rPr>
          <w:rFonts w:hint="eastAsia" w:ascii="宋体" w:hAnsi="宋体" w:eastAsia="宋体" w:cs="宋体"/>
          <w:color w:val="auto"/>
          <w:kern w:val="0"/>
          <w:sz w:val="21"/>
          <w:szCs w:val="21"/>
          <w:lang w:val="en-US" w:eastAsia="zh-CN" w:bidi="ar"/>
        </w:rPr>
        <w:t>应对检测对象基本情况进行核对、统计、确认，明确检测项目、人员组织、时间安排、检测方法、安全保障措施等。</w:t>
      </w:r>
      <w:r>
        <w:rPr>
          <w:rFonts w:hint="eastAsia" w:ascii="宋体" w:hAnsi="宋体" w:eastAsia="宋体" w:cs="宋体"/>
          <w:color w:val="auto"/>
          <w:spacing w:val="11"/>
          <w:sz w:val="21"/>
          <w:szCs w:val="21"/>
          <w:highlight w:val="none"/>
          <w:lang w:val="en-US" w:eastAsia="zh-CN"/>
        </w:rPr>
        <w:t xml:space="preserve"> </w:t>
      </w:r>
    </w:p>
    <w:p w14:paraId="11001642">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color w:val="auto"/>
          <w:spacing w:val="11"/>
          <w:sz w:val="21"/>
          <w:szCs w:val="21"/>
          <w:highlight w:val="none"/>
          <w:lang w:val="en-US" w:eastAsia="zh-CN"/>
        </w:rPr>
      </w:pPr>
      <w:r>
        <w:rPr>
          <w:rFonts w:hint="eastAsia" w:ascii="黑体" w:hAnsi="黑体" w:eastAsia="黑体" w:cs="黑体"/>
          <w:snapToGrid w:val="0"/>
          <w:color w:val="auto"/>
          <w:kern w:val="0"/>
          <w:sz w:val="21"/>
          <w:szCs w:val="21"/>
          <w:lang w:val="en-US" w:eastAsia="zh-CN" w:bidi="ar"/>
        </w:rPr>
        <w:t>5.1.2.3</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检测方案应包括以下内容</w:t>
      </w:r>
      <w:r>
        <w:rPr>
          <w:rFonts w:hint="eastAsia" w:ascii="宋体" w:hAnsi="宋体" w:cs="宋体"/>
          <w:color w:val="auto"/>
          <w:kern w:val="0"/>
          <w:sz w:val="21"/>
          <w:szCs w:val="21"/>
          <w:lang w:val="en-US" w:eastAsia="zh-CN" w:bidi="ar"/>
        </w:rPr>
        <w:t>：</w:t>
      </w:r>
      <w:r>
        <w:rPr>
          <w:rFonts w:hint="eastAsia" w:ascii="宋体" w:hAnsi="宋体" w:eastAsia="宋体" w:cs="宋体"/>
          <w:color w:val="auto"/>
          <w:spacing w:val="11"/>
          <w:sz w:val="21"/>
          <w:szCs w:val="21"/>
          <w:highlight w:val="none"/>
          <w:lang w:val="en-US" w:eastAsia="zh-CN"/>
        </w:rPr>
        <w:t xml:space="preserve"> </w:t>
      </w:r>
    </w:p>
    <w:p w14:paraId="1D5DCD68">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检测对象概况</w:t>
      </w:r>
      <w:r>
        <w:rPr>
          <w:rFonts w:hint="eastAsia" w:ascii="宋体" w:hAnsi="宋体" w:cs="宋体"/>
          <w:color w:val="auto"/>
          <w:kern w:val="0"/>
          <w:sz w:val="21"/>
          <w:szCs w:val="21"/>
          <w:lang w:val="en-US" w:eastAsia="zh-CN" w:bidi="ar"/>
        </w:rPr>
        <w:t>；</w:t>
      </w:r>
    </w:p>
    <w:p w14:paraId="77B8207E">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检测依据</w:t>
      </w:r>
      <w:r>
        <w:rPr>
          <w:rFonts w:hint="eastAsia" w:ascii="宋体" w:hAnsi="宋体" w:cs="宋体"/>
          <w:color w:val="auto"/>
          <w:kern w:val="0"/>
          <w:sz w:val="21"/>
          <w:szCs w:val="21"/>
          <w:lang w:val="en-US" w:eastAsia="zh-CN" w:bidi="ar"/>
        </w:rPr>
        <w:t>；</w:t>
      </w:r>
    </w:p>
    <w:p w14:paraId="0B6627B5">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项目负责人、技术负责人</w:t>
      </w:r>
      <w:r>
        <w:rPr>
          <w:rFonts w:hint="eastAsia" w:ascii="宋体" w:hAnsi="宋体" w:cs="宋体"/>
          <w:color w:val="auto"/>
          <w:spacing w:val="11"/>
          <w:sz w:val="21"/>
          <w:szCs w:val="21"/>
          <w:highlight w:val="none"/>
          <w:lang w:val="en-US" w:eastAsia="zh-CN"/>
        </w:rPr>
        <w:t>；</w:t>
      </w:r>
    </w:p>
    <w:p w14:paraId="3882918E">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cs="宋体"/>
          <w:snapToGrid w:val="0"/>
          <w:color w:val="auto"/>
          <w:kern w:val="0"/>
          <w:sz w:val="21"/>
          <w:szCs w:val="21"/>
          <w:lang w:val="en-US" w:eastAsia="zh-CN" w:bidi="ar"/>
        </w:rPr>
        <w:t>d)</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检测项目、检测方法及检测设备</w:t>
      </w:r>
      <w:r>
        <w:rPr>
          <w:rFonts w:hint="eastAsia" w:ascii="宋体" w:hAnsi="宋体" w:cs="宋体"/>
          <w:color w:val="auto"/>
          <w:kern w:val="0"/>
          <w:sz w:val="21"/>
          <w:szCs w:val="21"/>
          <w:lang w:val="en-US" w:eastAsia="zh-CN" w:bidi="ar"/>
        </w:rPr>
        <w:t>；</w:t>
      </w:r>
      <w:r>
        <w:rPr>
          <w:rFonts w:hint="eastAsia" w:ascii="宋体" w:hAnsi="宋体" w:eastAsia="宋体" w:cs="宋体"/>
          <w:color w:val="auto"/>
          <w:spacing w:val="11"/>
          <w:sz w:val="21"/>
          <w:szCs w:val="21"/>
          <w:highlight w:val="none"/>
          <w:lang w:val="en-US" w:eastAsia="zh-CN"/>
        </w:rPr>
        <w:t xml:space="preserve"> </w:t>
      </w:r>
    </w:p>
    <w:p w14:paraId="76250F59">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cs="宋体"/>
          <w:snapToGrid w:val="0"/>
          <w:color w:val="auto"/>
          <w:kern w:val="0"/>
          <w:sz w:val="21"/>
          <w:szCs w:val="21"/>
          <w:lang w:val="en-US" w:eastAsia="zh-CN" w:bidi="ar"/>
        </w:rPr>
        <w:t>e)</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合格标准、进度计划</w:t>
      </w:r>
      <w:r>
        <w:rPr>
          <w:rFonts w:hint="eastAsia" w:ascii="宋体" w:hAnsi="宋体" w:cs="宋体"/>
          <w:color w:val="auto"/>
          <w:kern w:val="0"/>
          <w:sz w:val="21"/>
          <w:szCs w:val="21"/>
          <w:lang w:val="en-US" w:eastAsia="zh-CN" w:bidi="ar"/>
        </w:rPr>
        <w:t>；</w:t>
      </w:r>
    </w:p>
    <w:p w14:paraId="58C6EB8B">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cs="宋体"/>
          <w:snapToGrid w:val="0"/>
          <w:color w:val="auto"/>
          <w:kern w:val="0"/>
          <w:sz w:val="21"/>
          <w:szCs w:val="21"/>
          <w:lang w:val="en-US" w:eastAsia="zh-CN" w:bidi="ar"/>
        </w:rPr>
        <w:t>f)</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安全保障措施。</w:t>
      </w:r>
      <w:r>
        <w:rPr>
          <w:rFonts w:hint="eastAsia" w:ascii="宋体" w:hAnsi="宋体" w:eastAsia="宋体" w:cs="宋体"/>
          <w:color w:val="auto"/>
          <w:spacing w:val="11"/>
          <w:sz w:val="21"/>
          <w:szCs w:val="21"/>
          <w:highlight w:val="none"/>
          <w:lang w:val="en-US" w:eastAsia="zh-CN"/>
        </w:rPr>
        <w:t xml:space="preserve"> </w:t>
      </w:r>
    </w:p>
    <w:p w14:paraId="07B1BC64">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3"/>
        <w:rPr>
          <w:rFonts w:hint="eastAsia" w:ascii="黑体" w:hAnsi="黑体" w:eastAsia="黑体" w:cs="黑体"/>
          <w:snapToGrid w:val="0"/>
          <w:color w:val="auto"/>
          <w:spacing w:val="8"/>
          <w:kern w:val="0"/>
          <w:sz w:val="21"/>
          <w:szCs w:val="21"/>
          <w:highlight w:val="none"/>
          <w:lang w:val="en-US" w:eastAsia="zh-CN"/>
        </w:rPr>
      </w:pPr>
      <w:bookmarkStart w:id="124" w:name="_Toc432"/>
      <w:bookmarkStart w:id="125" w:name="_Toc22577"/>
      <w:r>
        <w:rPr>
          <w:rFonts w:hint="eastAsia" w:hAnsi="黑体" w:cs="黑体"/>
          <w:snapToGrid w:val="0"/>
          <w:color w:val="auto"/>
          <w:spacing w:val="8"/>
          <w:kern w:val="0"/>
          <w:sz w:val="21"/>
          <w:szCs w:val="21"/>
          <w:highlight w:val="none"/>
          <w:lang w:val="en-US" w:eastAsia="zh-CN"/>
        </w:rPr>
        <w:t>5</w:t>
      </w:r>
      <w:r>
        <w:rPr>
          <w:rFonts w:hint="eastAsia" w:ascii="黑体" w:hAnsi="黑体" w:eastAsia="黑体" w:cs="黑体"/>
          <w:snapToGrid w:val="0"/>
          <w:color w:val="auto"/>
          <w:spacing w:val="8"/>
          <w:kern w:val="0"/>
          <w:sz w:val="21"/>
          <w:szCs w:val="21"/>
          <w:highlight w:val="none"/>
          <w:lang w:val="en-US" w:eastAsia="zh-CN"/>
        </w:rPr>
        <w:t xml:space="preserve">.1.3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检测准备</w:t>
      </w:r>
      <w:bookmarkEnd w:id="124"/>
      <w:bookmarkEnd w:id="125"/>
      <w:r>
        <w:rPr>
          <w:rFonts w:hint="eastAsia" w:ascii="黑体" w:hAnsi="黑体" w:eastAsia="黑体" w:cs="黑体"/>
          <w:snapToGrid w:val="0"/>
          <w:color w:val="auto"/>
          <w:spacing w:val="8"/>
          <w:kern w:val="0"/>
          <w:sz w:val="21"/>
          <w:szCs w:val="21"/>
          <w:highlight w:val="none"/>
          <w:lang w:val="en-US" w:eastAsia="zh-CN"/>
        </w:rPr>
        <w:t xml:space="preserve"> </w:t>
      </w:r>
    </w:p>
    <w:p w14:paraId="5A48EB36">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pacing w:val="11"/>
          <w:sz w:val="21"/>
          <w:szCs w:val="21"/>
          <w:highlight w:val="none"/>
          <w:lang w:val="en-US" w:eastAsia="zh-CN"/>
        </w:rPr>
      </w:pPr>
      <w:r>
        <w:rPr>
          <w:rFonts w:hint="eastAsia" w:ascii="黑体" w:hAnsi="黑体" w:eastAsia="黑体" w:cs="黑体"/>
          <w:snapToGrid w:val="0"/>
          <w:color w:val="auto"/>
          <w:kern w:val="0"/>
          <w:sz w:val="21"/>
          <w:szCs w:val="21"/>
          <w:lang w:val="en-US" w:eastAsia="zh-CN" w:bidi="ar"/>
        </w:rPr>
        <w:t xml:space="preserve">5.1.3.1  </w:t>
      </w:r>
      <w:r>
        <w:rPr>
          <w:rFonts w:hint="eastAsia" w:ascii="宋体" w:hAnsi="宋体" w:eastAsia="宋体" w:cs="宋体"/>
          <w:color w:val="auto"/>
          <w:kern w:val="0"/>
          <w:sz w:val="21"/>
          <w:szCs w:val="21"/>
          <w:lang w:val="en-US" w:eastAsia="zh-CN" w:bidi="ar"/>
        </w:rPr>
        <w:t>检测开始前，检测机构应在委托方的配合下查阅以下资料</w:t>
      </w:r>
      <w:r>
        <w:rPr>
          <w:rFonts w:hint="eastAsia" w:ascii="宋体" w:hAnsi="宋体" w:cs="宋体"/>
          <w:color w:val="auto"/>
          <w:kern w:val="0"/>
          <w:sz w:val="21"/>
          <w:szCs w:val="21"/>
          <w:lang w:val="en-US" w:eastAsia="zh-CN" w:bidi="ar"/>
        </w:rPr>
        <w:t>：</w:t>
      </w:r>
      <w:r>
        <w:rPr>
          <w:rFonts w:hint="eastAsia" w:ascii="宋体" w:hAnsi="宋体" w:eastAsia="宋体" w:cs="宋体"/>
          <w:color w:val="auto"/>
          <w:spacing w:val="11"/>
          <w:sz w:val="21"/>
          <w:szCs w:val="21"/>
          <w:highlight w:val="none"/>
          <w:lang w:val="en-US" w:eastAsia="zh-CN"/>
        </w:rPr>
        <w:t xml:space="preserve"> </w:t>
      </w:r>
    </w:p>
    <w:p w14:paraId="1CA12D23">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cs="宋体"/>
          <w:snapToGrid w:val="0"/>
          <w:color w:val="auto"/>
          <w:kern w:val="0"/>
          <w:sz w:val="21"/>
          <w:szCs w:val="21"/>
          <w:lang w:val="en-US" w:eastAsia="zh-CN" w:bidi="ar"/>
        </w:rPr>
        <w:t xml:space="preserve">a)  </w:t>
      </w:r>
      <w:r>
        <w:rPr>
          <w:rFonts w:hint="eastAsia" w:ascii="宋体" w:hAnsi="宋体" w:eastAsia="宋体" w:cs="宋体"/>
          <w:color w:val="auto"/>
          <w:kern w:val="0"/>
          <w:sz w:val="21"/>
          <w:szCs w:val="21"/>
          <w:lang w:val="en-US" w:eastAsia="zh-CN" w:bidi="ar"/>
        </w:rPr>
        <w:t>电气装置、产品的合格证明文件</w:t>
      </w:r>
      <w:r>
        <w:rPr>
          <w:rFonts w:hint="eastAsia" w:ascii="宋体" w:hAnsi="宋体" w:cs="宋体"/>
          <w:color w:val="auto"/>
          <w:kern w:val="0"/>
          <w:sz w:val="21"/>
          <w:szCs w:val="21"/>
          <w:lang w:val="en-US" w:eastAsia="zh-CN" w:bidi="ar"/>
        </w:rPr>
        <w:t>；</w:t>
      </w:r>
      <w:r>
        <w:rPr>
          <w:rFonts w:hint="eastAsia" w:ascii="宋体" w:hAnsi="宋体" w:eastAsia="宋体" w:cs="宋体"/>
          <w:color w:val="auto"/>
          <w:spacing w:val="11"/>
          <w:sz w:val="21"/>
          <w:szCs w:val="21"/>
          <w:highlight w:val="none"/>
          <w:lang w:val="en-US" w:eastAsia="zh-CN"/>
        </w:rPr>
        <w:t xml:space="preserve"> </w:t>
      </w:r>
    </w:p>
    <w:p w14:paraId="57D037D4">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cs="宋体"/>
          <w:snapToGrid w:val="0"/>
          <w:color w:val="auto"/>
          <w:kern w:val="0"/>
          <w:sz w:val="21"/>
          <w:szCs w:val="21"/>
          <w:lang w:val="en-US" w:eastAsia="zh-CN" w:bidi="ar"/>
        </w:rPr>
        <w:t xml:space="preserve">b)  </w:t>
      </w:r>
      <w:r>
        <w:rPr>
          <w:rFonts w:hint="eastAsia" w:ascii="宋体" w:hAnsi="宋体" w:eastAsia="宋体" w:cs="宋体"/>
          <w:color w:val="auto"/>
          <w:kern w:val="0"/>
          <w:sz w:val="21"/>
          <w:szCs w:val="21"/>
          <w:lang w:val="en-US" w:eastAsia="zh-CN" w:bidi="ar"/>
        </w:rPr>
        <w:t>配电系统图及相关文件</w:t>
      </w:r>
      <w:r>
        <w:rPr>
          <w:rFonts w:hint="eastAsia" w:ascii="宋体" w:hAnsi="宋体" w:cs="宋体"/>
          <w:color w:val="auto"/>
          <w:kern w:val="0"/>
          <w:sz w:val="21"/>
          <w:szCs w:val="21"/>
          <w:lang w:val="en-US" w:eastAsia="zh-CN" w:bidi="ar"/>
        </w:rPr>
        <w:t>；</w:t>
      </w:r>
      <w:r>
        <w:rPr>
          <w:rFonts w:hint="eastAsia" w:ascii="宋体" w:hAnsi="宋体" w:eastAsia="宋体" w:cs="宋体"/>
          <w:color w:val="auto"/>
          <w:spacing w:val="11"/>
          <w:sz w:val="21"/>
          <w:szCs w:val="21"/>
          <w:highlight w:val="none"/>
          <w:lang w:val="en-US" w:eastAsia="zh-CN"/>
        </w:rPr>
        <w:t xml:space="preserve"> </w:t>
      </w:r>
    </w:p>
    <w:p w14:paraId="5BDED9E1">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cs="宋体"/>
          <w:snapToGrid w:val="0"/>
          <w:color w:val="auto"/>
          <w:kern w:val="0"/>
          <w:sz w:val="21"/>
          <w:szCs w:val="21"/>
          <w:lang w:val="en-US" w:eastAsia="zh-CN" w:bidi="ar"/>
        </w:rPr>
        <w:t xml:space="preserve">c)  </w:t>
      </w:r>
      <w:r>
        <w:rPr>
          <w:rFonts w:hint="eastAsia" w:ascii="宋体" w:hAnsi="宋体" w:eastAsia="宋体" w:cs="宋体"/>
          <w:color w:val="auto"/>
          <w:kern w:val="0"/>
          <w:sz w:val="21"/>
          <w:szCs w:val="21"/>
          <w:lang w:val="en-US" w:eastAsia="zh-CN" w:bidi="ar"/>
        </w:rPr>
        <w:t>运行状况记录和维修记录</w:t>
      </w:r>
      <w:r>
        <w:rPr>
          <w:rFonts w:hint="eastAsia" w:ascii="宋体" w:hAnsi="宋体" w:cs="宋体"/>
          <w:color w:val="auto"/>
          <w:kern w:val="0"/>
          <w:sz w:val="21"/>
          <w:szCs w:val="21"/>
          <w:lang w:val="en-US" w:eastAsia="zh-CN" w:bidi="ar"/>
        </w:rPr>
        <w:t>；</w:t>
      </w:r>
      <w:r>
        <w:rPr>
          <w:rFonts w:hint="eastAsia" w:ascii="宋体" w:hAnsi="宋体" w:eastAsia="宋体" w:cs="宋体"/>
          <w:color w:val="auto"/>
          <w:spacing w:val="11"/>
          <w:sz w:val="21"/>
          <w:szCs w:val="21"/>
          <w:highlight w:val="none"/>
          <w:lang w:val="en-US" w:eastAsia="zh-CN"/>
        </w:rPr>
        <w:t xml:space="preserve"> </w:t>
      </w:r>
    </w:p>
    <w:p w14:paraId="12D4B0CD">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cs="宋体"/>
          <w:snapToGrid w:val="0"/>
          <w:color w:val="auto"/>
          <w:kern w:val="0"/>
          <w:sz w:val="21"/>
          <w:szCs w:val="21"/>
          <w:lang w:val="en-US" w:eastAsia="zh-CN" w:bidi="ar"/>
        </w:rPr>
        <w:t xml:space="preserve">d)  </w:t>
      </w:r>
      <w:r>
        <w:rPr>
          <w:rFonts w:hint="eastAsia" w:ascii="宋体" w:hAnsi="宋体" w:eastAsia="宋体" w:cs="宋体"/>
          <w:color w:val="auto"/>
          <w:kern w:val="0"/>
          <w:sz w:val="21"/>
          <w:szCs w:val="21"/>
          <w:lang w:val="en-US" w:eastAsia="zh-CN" w:bidi="ar"/>
        </w:rPr>
        <w:t xml:space="preserve">系统操作规程、安全管理制度等。 </w:t>
      </w:r>
    </w:p>
    <w:p w14:paraId="2FD56CE1">
      <w:pPr>
        <w:keepNext w:val="0"/>
        <w:keepLines w:val="0"/>
        <w:pageBreakBefore w:val="0"/>
        <w:widowControl/>
        <w:tabs>
          <w:tab w:val="right" w:leader="dot" w:pos="9334"/>
        </w:tabs>
        <w:kinsoku w:val="0"/>
        <w:wordWrap/>
        <w:overflowPunct/>
        <w:topLinePunct w:val="0"/>
        <w:autoSpaceDE w:val="0"/>
        <w:autoSpaceDN w:val="0"/>
        <w:bidi w:val="0"/>
        <w:adjustRightInd w:val="0"/>
        <w:snapToGrid/>
        <w:spacing w:line="240" w:lineRule="auto"/>
        <w:ind w:left="0"/>
        <w:textAlignment w:val="baseline"/>
        <w:rPr>
          <w:rFonts w:hint="eastAsia" w:ascii="宋体" w:hAnsi="宋体" w:eastAsia="宋体" w:cs="宋体"/>
          <w:color w:val="auto"/>
          <w:spacing w:val="11"/>
          <w:sz w:val="21"/>
          <w:szCs w:val="21"/>
          <w:highlight w:val="none"/>
          <w:lang w:val="en-US" w:eastAsia="zh-CN"/>
        </w:rPr>
      </w:pPr>
      <w:r>
        <w:rPr>
          <w:rFonts w:hint="eastAsia" w:ascii="黑体" w:hAnsi="黑体" w:eastAsia="黑体" w:cs="黑体"/>
          <w:snapToGrid w:val="0"/>
          <w:color w:val="auto"/>
          <w:kern w:val="0"/>
          <w:sz w:val="21"/>
          <w:szCs w:val="21"/>
          <w:lang w:val="en-US" w:eastAsia="zh-CN" w:bidi="ar"/>
        </w:rPr>
        <w:t>5.1.3.2</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现场检测前，检测人员应与委托单位或管理单位确定现场检测所需配合的人员和技术需求</w:t>
      </w:r>
      <w:r>
        <w:rPr>
          <w:rFonts w:hint="eastAsia" w:ascii="宋体" w:hAnsi="宋体" w:eastAsia="宋体" w:cs="宋体"/>
          <w:color w:val="auto"/>
          <w:spacing w:val="11"/>
          <w:sz w:val="21"/>
          <w:szCs w:val="21"/>
          <w:highlight w:val="none"/>
          <w:lang w:val="en-US" w:eastAsia="zh-CN"/>
        </w:rPr>
        <w:t xml:space="preserve">。 </w:t>
      </w:r>
    </w:p>
    <w:p w14:paraId="01B73D3A">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3"/>
        <w:rPr>
          <w:rFonts w:hint="eastAsia" w:ascii="黑体" w:hAnsi="黑体" w:eastAsia="黑体" w:cs="黑体"/>
          <w:snapToGrid w:val="0"/>
          <w:color w:val="auto"/>
          <w:spacing w:val="8"/>
          <w:kern w:val="0"/>
          <w:sz w:val="21"/>
          <w:szCs w:val="21"/>
          <w:highlight w:val="none"/>
          <w:lang w:val="en-US" w:eastAsia="zh-CN"/>
        </w:rPr>
      </w:pPr>
      <w:bookmarkStart w:id="126" w:name="_Toc12929"/>
      <w:bookmarkStart w:id="127" w:name="_Toc28026"/>
      <w:r>
        <w:rPr>
          <w:rFonts w:hint="eastAsia" w:hAnsi="黑体" w:cs="黑体"/>
          <w:snapToGrid w:val="0"/>
          <w:color w:val="auto"/>
          <w:spacing w:val="8"/>
          <w:kern w:val="0"/>
          <w:sz w:val="21"/>
          <w:szCs w:val="21"/>
          <w:highlight w:val="none"/>
          <w:lang w:val="en-US" w:eastAsia="zh-CN"/>
        </w:rPr>
        <w:t>5</w:t>
      </w:r>
      <w:r>
        <w:rPr>
          <w:rFonts w:hint="eastAsia" w:ascii="黑体" w:hAnsi="黑体" w:eastAsia="黑体" w:cs="黑体"/>
          <w:snapToGrid w:val="0"/>
          <w:color w:val="auto"/>
          <w:spacing w:val="8"/>
          <w:kern w:val="0"/>
          <w:sz w:val="21"/>
          <w:szCs w:val="21"/>
          <w:highlight w:val="none"/>
          <w:lang w:val="en-US" w:eastAsia="zh-CN"/>
        </w:rPr>
        <w:t xml:space="preserve">.1.4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检测实施</w:t>
      </w:r>
      <w:bookmarkEnd w:id="126"/>
      <w:bookmarkEnd w:id="127"/>
      <w:r>
        <w:rPr>
          <w:rFonts w:hint="eastAsia" w:ascii="黑体" w:hAnsi="黑体" w:eastAsia="黑体" w:cs="黑体"/>
          <w:snapToGrid w:val="0"/>
          <w:color w:val="auto"/>
          <w:spacing w:val="8"/>
          <w:kern w:val="0"/>
          <w:sz w:val="21"/>
          <w:szCs w:val="21"/>
          <w:highlight w:val="none"/>
          <w:lang w:val="en-US" w:eastAsia="zh-CN"/>
        </w:rPr>
        <w:t xml:space="preserve"> </w:t>
      </w:r>
    </w:p>
    <w:p w14:paraId="0945F833">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pacing w:val="11"/>
          <w:sz w:val="21"/>
          <w:szCs w:val="21"/>
          <w:highlight w:val="none"/>
          <w:lang w:val="en-US" w:eastAsia="zh-CN"/>
        </w:rPr>
      </w:pPr>
      <w:r>
        <w:rPr>
          <w:rFonts w:hint="eastAsia" w:ascii="黑体" w:hAnsi="黑体" w:eastAsia="黑体" w:cs="黑体"/>
          <w:snapToGrid w:val="0"/>
          <w:color w:val="auto"/>
          <w:kern w:val="0"/>
          <w:sz w:val="21"/>
          <w:szCs w:val="21"/>
          <w:lang w:val="en-US" w:eastAsia="zh-CN" w:bidi="ar"/>
        </w:rPr>
        <w:t>5.1.4.1</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电气防火检测应在电气</w:t>
      </w:r>
      <w:r>
        <w:rPr>
          <w:rFonts w:hint="eastAsia" w:ascii="宋体" w:hAnsi="宋体" w:cs="宋体"/>
          <w:color w:val="auto"/>
          <w:kern w:val="0"/>
          <w:sz w:val="21"/>
          <w:szCs w:val="21"/>
          <w:lang w:val="en-US" w:eastAsia="zh-CN" w:bidi="ar"/>
        </w:rPr>
        <w:t>装置</w:t>
      </w:r>
      <w:r>
        <w:rPr>
          <w:rFonts w:hint="eastAsia" w:ascii="宋体" w:hAnsi="宋体" w:eastAsia="宋体" w:cs="宋体"/>
          <w:color w:val="auto"/>
          <w:kern w:val="0"/>
          <w:sz w:val="21"/>
          <w:szCs w:val="21"/>
          <w:lang w:val="en-US" w:eastAsia="zh-CN" w:bidi="ar"/>
        </w:rPr>
        <w:t>和线路带载运行不少于1h，且工作状态正常稳定后进行。</w:t>
      </w:r>
      <w:r>
        <w:rPr>
          <w:rFonts w:hint="eastAsia" w:ascii="宋体" w:hAnsi="宋体" w:eastAsia="宋体" w:cs="宋体"/>
          <w:color w:val="auto"/>
          <w:spacing w:val="11"/>
          <w:sz w:val="21"/>
          <w:szCs w:val="21"/>
          <w:highlight w:val="none"/>
          <w:lang w:val="en-US" w:eastAsia="zh-CN"/>
        </w:rPr>
        <w:t xml:space="preserve"> </w:t>
      </w:r>
    </w:p>
    <w:p w14:paraId="12E8F5BB">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textAlignment w:val="baseline"/>
        <w:outlineLvl w:val="9"/>
        <w:rPr>
          <w:rFonts w:hint="eastAsia" w:ascii="宋体" w:hAnsi="宋体" w:eastAsia="宋体" w:cs="宋体"/>
          <w:color w:val="auto"/>
          <w:spacing w:val="11"/>
          <w:sz w:val="21"/>
          <w:szCs w:val="21"/>
          <w:highlight w:val="none"/>
          <w:lang w:val="en-US" w:eastAsia="zh-CN"/>
        </w:rPr>
      </w:pPr>
      <w:r>
        <w:rPr>
          <w:rFonts w:hint="eastAsia" w:ascii="黑体" w:hAnsi="黑体" w:eastAsia="黑体" w:cs="黑体"/>
          <w:snapToGrid w:val="0"/>
          <w:color w:val="auto"/>
          <w:kern w:val="0"/>
          <w:sz w:val="21"/>
          <w:szCs w:val="21"/>
          <w:lang w:val="en-US" w:eastAsia="zh-CN" w:bidi="ar"/>
        </w:rPr>
        <w:t>5.1.4.2</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检测机构应按第</w:t>
      </w:r>
      <w:r>
        <w:rPr>
          <w:rFonts w:hint="eastAsia" w:ascii="宋体" w:hAnsi="宋体" w:cs="宋体"/>
          <w:color w:val="auto"/>
          <w:kern w:val="0"/>
          <w:sz w:val="21"/>
          <w:szCs w:val="21"/>
          <w:lang w:val="en-US" w:eastAsia="zh-CN" w:bidi="ar"/>
        </w:rPr>
        <w:t>7.1条</w:t>
      </w:r>
      <w:r>
        <w:rPr>
          <w:rFonts w:hint="eastAsia" w:ascii="宋体" w:hAnsi="宋体" w:eastAsia="宋体" w:cs="宋体"/>
          <w:color w:val="auto"/>
          <w:kern w:val="0"/>
          <w:sz w:val="21"/>
          <w:szCs w:val="21"/>
          <w:lang w:val="en-US" w:eastAsia="zh-CN" w:bidi="ar"/>
        </w:rPr>
        <w:t>的要求开展现场检测。</w:t>
      </w:r>
      <w:r>
        <w:rPr>
          <w:rFonts w:hint="eastAsia" w:ascii="宋体" w:hAnsi="宋体" w:eastAsia="宋体" w:cs="宋体"/>
          <w:color w:val="auto"/>
          <w:spacing w:val="11"/>
          <w:sz w:val="21"/>
          <w:szCs w:val="21"/>
          <w:highlight w:val="none"/>
          <w:lang w:val="en-US" w:eastAsia="zh-CN"/>
        </w:rPr>
        <w:t xml:space="preserve"> </w:t>
      </w:r>
    </w:p>
    <w:p w14:paraId="10C9A625">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pacing w:val="11"/>
          <w:sz w:val="21"/>
          <w:szCs w:val="21"/>
          <w:highlight w:val="none"/>
          <w:lang w:val="en-US" w:eastAsia="zh-CN"/>
        </w:rPr>
      </w:pPr>
      <w:r>
        <w:rPr>
          <w:rFonts w:hint="eastAsia" w:ascii="黑体" w:hAnsi="黑体" w:eastAsia="黑体" w:cs="黑体"/>
          <w:snapToGrid w:val="0"/>
          <w:color w:val="auto"/>
          <w:kern w:val="0"/>
          <w:sz w:val="21"/>
          <w:szCs w:val="21"/>
          <w:lang w:val="en-US" w:eastAsia="zh-CN" w:bidi="ar"/>
        </w:rPr>
        <w:t>5.1.4.3</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color w:val="auto"/>
          <w:kern w:val="0"/>
          <w:sz w:val="21"/>
          <w:szCs w:val="21"/>
          <w:lang w:val="en-US" w:eastAsia="zh-CN" w:bidi="ar"/>
        </w:rPr>
        <w:t>检测过程中，检测人员应按照第</w:t>
      </w:r>
      <w:r>
        <w:rPr>
          <w:rFonts w:hint="eastAsia" w:ascii="宋体" w:hAnsi="宋体" w:cs="宋体"/>
          <w:color w:val="auto"/>
          <w:kern w:val="0"/>
          <w:sz w:val="21"/>
          <w:szCs w:val="21"/>
          <w:lang w:val="en-US" w:eastAsia="zh-CN" w:bidi="ar"/>
        </w:rPr>
        <w:t>8</w:t>
      </w:r>
      <w:r>
        <w:rPr>
          <w:rFonts w:hint="eastAsia" w:ascii="宋体" w:hAnsi="宋体" w:eastAsia="宋体" w:cs="宋体"/>
          <w:color w:val="auto"/>
          <w:kern w:val="0"/>
          <w:sz w:val="21"/>
          <w:szCs w:val="21"/>
          <w:lang w:val="en-US" w:eastAsia="zh-CN" w:bidi="ar"/>
        </w:rPr>
        <w:t>.1条的要求填写检测记录。</w:t>
      </w:r>
      <w:r>
        <w:rPr>
          <w:rFonts w:hint="eastAsia" w:ascii="宋体" w:hAnsi="宋体" w:eastAsia="宋体" w:cs="宋体"/>
          <w:color w:val="auto"/>
          <w:spacing w:val="11"/>
          <w:sz w:val="21"/>
          <w:szCs w:val="21"/>
          <w:highlight w:val="none"/>
          <w:lang w:val="en-US" w:eastAsia="zh-CN"/>
        </w:rPr>
        <w:t xml:space="preserve"> </w:t>
      </w:r>
    </w:p>
    <w:p w14:paraId="44203191">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3"/>
        <w:rPr>
          <w:rFonts w:hint="eastAsia" w:ascii="黑体" w:hAnsi="黑体" w:eastAsia="黑体" w:cs="黑体"/>
          <w:snapToGrid w:val="0"/>
          <w:color w:val="auto"/>
          <w:spacing w:val="8"/>
          <w:kern w:val="0"/>
          <w:sz w:val="21"/>
          <w:szCs w:val="21"/>
          <w:highlight w:val="none"/>
          <w:lang w:val="en-US" w:eastAsia="zh-CN"/>
        </w:rPr>
      </w:pPr>
      <w:bookmarkStart w:id="128" w:name="_Toc28451"/>
      <w:bookmarkStart w:id="129" w:name="_Toc6554"/>
      <w:r>
        <w:rPr>
          <w:rFonts w:hint="eastAsia" w:hAnsi="黑体" w:cs="黑体"/>
          <w:snapToGrid w:val="0"/>
          <w:color w:val="auto"/>
          <w:spacing w:val="8"/>
          <w:kern w:val="0"/>
          <w:sz w:val="21"/>
          <w:szCs w:val="21"/>
          <w:highlight w:val="none"/>
          <w:lang w:val="en-US" w:eastAsia="zh-CN"/>
        </w:rPr>
        <w:t>5</w:t>
      </w:r>
      <w:r>
        <w:rPr>
          <w:rFonts w:hint="eastAsia" w:ascii="黑体" w:hAnsi="黑体" w:eastAsia="黑体" w:cs="黑体"/>
          <w:snapToGrid w:val="0"/>
          <w:color w:val="auto"/>
          <w:spacing w:val="8"/>
          <w:kern w:val="0"/>
          <w:sz w:val="21"/>
          <w:szCs w:val="21"/>
          <w:highlight w:val="none"/>
          <w:lang w:val="en-US" w:eastAsia="zh-CN"/>
        </w:rPr>
        <w:t xml:space="preserve">.1.5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检测判定</w:t>
      </w:r>
      <w:bookmarkEnd w:id="128"/>
      <w:bookmarkEnd w:id="129"/>
      <w:r>
        <w:rPr>
          <w:rFonts w:hint="eastAsia" w:ascii="黑体" w:hAnsi="黑体" w:eastAsia="黑体" w:cs="黑体"/>
          <w:snapToGrid w:val="0"/>
          <w:color w:val="auto"/>
          <w:spacing w:val="8"/>
          <w:kern w:val="0"/>
          <w:sz w:val="21"/>
          <w:szCs w:val="21"/>
          <w:highlight w:val="none"/>
          <w:lang w:val="en-US" w:eastAsia="zh-CN"/>
        </w:rPr>
        <w:t xml:space="preserve"> </w:t>
      </w:r>
    </w:p>
    <w:p w14:paraId="1ACE8B23">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kern w:val="0"/>
          <w:sz w:val="21"/>
          <w:szCs w:val="21"/>
          <w:lang w:val="en-US" w:eastAsia="zh-CN" w:bidi="ar"/>
        </w:rPr>
        <w:t>现场检测结束后，检测人员应根据检测结果，按第</w:t>
      </w: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val="en-US" w:eastAsia="zh-CN" w:bidi="ar"/>
        </w:rPr>
        <w:t>2.2</w:t>
      </w:r>
      <w:r>
        <w:rPr>
          <w:rFonts w:hint="eastAsia" w:ascii="宋体" w:hAnsi="宋体" w:eastAsia="宋体" w:cs="宋体"/>
          <w:color w:val="auto"/>
          <w:kern w:val="0"/>
          <w:sz w:val="21"/>
          <w:szCs w:val="21"/>
          <w:lang w:val="en-US" w:eastAsia="zh-CN" w:bidi="ar"/>
        </w:rPr>
        <w:t>条的要求综合判定被检测对象的火灾危险级别。</w:t>
      </w:r>
      <w:r>
        <w:rPr>
          <w:rFonts w:hint="eastAsia" w:ascii="宋体" w:hAnsi="宋体" w:eastAsia="宋体" w:cs="宋体"/>
          <w:color w:val="auto"/>
          <w:spacing w:val="11"/>
          <w:sz w:val="21"/>
          <w:szCs w:val="21"/>
          <w:highlight w:val="none"/>
          <w:lang w:val="en-US" w:eastAsia="zh-CN"/>
        </w:rPr>
        <w:t xml:space="preserve"> </w:t>
      </w:r>
    </w:p>
    <w:p w14:paraId="78968E5D">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3"/>
        <w:rPr>
          <w:rFonts w:hint="eastAsia" w:ascii="黑体" w:hAnsi="黑体" w:eastAsia="黑体" w:cs="黑体"/>
          <w:snapToGrid w:val="0"/>
          <w:color w:val="auto"/>
          <w:spacing w:val="8"/>
          <w:kern w:val="0"/>
          <w:sz w:val="21"/>
          <w:szCs w:val="21"/>
          <w:highlight w:val="none"/>
          <w:lang w:val="en-US" w:eastAsia="zh-CN"/>
        </w:rPr>
      </w:pPr>
      <w:bookmarkStart w:id="130" w:name="_Toc18038"/>
      <w:bookmarkStart w:id="131" w:name="_Toc23864"/>
      <w:r>
        <w:rPr>
          <w:rFonts w:hint="eastAsia" w:hAnsi="黑体" w:cs="黑体"/>
          <w:snapToGrid w:val="0"/>
          <w:color w:val="auto"/>
          <w:spacing w:val="8"/>
          <w:kern w:val="0"/>
          <w:sz w:val="21"/>
          <w:szCs w:val="21"/>
          <w:highlight w:val="none"/>
          <w:lang w:val="en-US" w:eastAsia="zh-CN"/>
        </w:rPr>
        <w:t>5</w:t>
      </w:r>
      <w:r>
        <w:rPr>
          <w:rFonts w:hint="eastAsia" w:ascii="黑体" w:hAnsi="黑体" w:eastAsia="黑体" w:cs="黑体"/>
          <w:snapToGrid w:val="0"/>
          <w:color w:val="auto"/>
          <w:spacing w:val="8"/>
          <w:kern w:val="0"/>
          <w:sz w:val="21"/>
          <w:szCs w:val="21"/>
          <w:highlight w:val="none"/>
          <w:lang w:val="en-US" w:eastAsia="zh-CN"/>
        </w:rPr>
        <w:t xml:space="preserve">.1.6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出具报告</w:t>
      </w:r>
      <w:bookmarkEnd w:id="130"/>
      <w:bookmarkEnd w:id="131"/>
      <w:r>
        <w:rPr>
          <w:rFonts w:hint="eastAsia" w:ascii="黑体" w:hAnsi="黑体" w:eastAsia="黑体" w:cs="黑体"/>
          <w:snapToGrid w:val="0"/>
          <w:color w:val="auto"/>
          <w:spacing w:val="8"/>
          <w:kern w:val="0"/>
          <w:sz w:val="21"/>
          <w:szCs w:val="21"/>
          <w:highlight w:val="none"/>
          <w:lang w:val="en-US" w:eastAsia="zh-CN"/>
        </w:rPr>
        <w:t xml:space="preserve"> </w:t>
      </w:r>
    </w:p>
    <w:p w14:paraId="6129A6F6">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检测机构应依据检测判定的结果，由项目负责人组织现场检测人员按照第</w:t>
      </w:r>
      <w:r>
        <w:rPr>
          <w:rFonts w:hint="eastAsia" w:ascii="宋体" w:hAnsi="宋体" w:cs="宋体"/>
          <w:color w:val="auto"/>
          <w:kern w:val="0"/>
          <w:sz w:val="21"/>
          <w:szCs w:val="21"/>
          <w:lang w:val="en-US" w:eastAsia="zh-CN" w:bidi="ar"/>
        </w:rPr>
        <w:t>8</w:t>
      </w:r>
      <w:r>
        <w:rPr>
          <w:rFonts w:hint="eastAsia" w:ascii="宋体" w:hAnsi="宋体" w:eastAsia="宋体" w:cs="宋体"/>
          <w:color w:val="auto"/>
          <w:kern w:val="0"/>
          <w:sz w:val="21"/>
          <w:szCs w:val="21"/>
          <w:lang w:val="en-US" w:eastAsia="zh-CN" w:bidi="ar"/>
        </w:rPr>
        <w:t>.2条的要求编制检测报告。</w:t>
      </w:r>
    </w:p>
    <w:p w14:paraId="67D8AF17">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2"/>
        <w:rPr>
          <w:rFonts w:hint="eastAsia" w:ascii="黑体" w:hAnsi="黑体" w:eastAsia="黑体" w:cs="黑体"/>
          <w:snapToGrid w:val="0"/>
          <w:color w:val="auto"/>
          <w:spacing w:val="8"/>
          <w:kern w:val="0"/>
          <w:sz w:val="21"/>
          <w:szCs w:val="21"/>
          <w:highlight w:val="none"/>
          <w:lang w:val="en-US" w:eastAsia="zh-CN"/>
        </w:rPr>
      </w:pPr>
      <w:bookmarkStart w:id="132" w:name="_Toc31953"/>
      <w:bookmarkStart w:id="133" w:name="_Toc23526"/>
      <w:bookmarkStart w:id="134" w:name="_Toc9947"/>
      <w:bookmarkStart w:id="135" w:name="_Toc12700"/>
      <w:bookmarkStart w:id="136" w:name="_Toc27935"/>
      <w:bookmarkStart w:id="137" w:name="_Toc8140"/>
      <w:bookmarkStart w:id="138" w:name="_Toc29727"/>
      <w:bookmarkStart w:id="139" w:name="_Toc11035"/>
      <w:bookmarkStart w:id="140" w:name="_Toc18261"/>
      <w:bookmarkStart w:id="141" w:name="_Toc376"/>
      <w:bookmarkStart w:id="142" w:name="_Toc25134"/>
      <w:bookmarkStart w:id="143" w:name="_Toc6265"/>
      <w:bookmarkStart w:id="144" w:name="_Toc30553"/>
      <w:bookmarkStart w:id="145" w:name="_Toc23532"/>
      <w:bookmarkStart w:id="146" w:name="_Toc17771"/>
      <w:bookmarkStart w:id="147" w:name="_Toc25392"/>
      <w:bookmarkStart w:id="148" w:name="_Toc2182"/>
      <w:bookmarkStart w:id="149" w:name="_Toc13543"/>
      <w:bookmarkStart w:id="150" w:name="_Toc4520"/>
      <w:bookmarkStart w:id="151" w:name="_Toc22136"/>
      <w:bookmarkStart w:id="152" w:name="_Toc22559"/>
      <w:bookmarkStart w:id="153" w:name="_Toc2799"/>
      <w:bookmarkStart w:id="154" w:name="_Toc6189"/>
      <w:bookmarkStart w:id="155" w:name="_Toc3051"/>
      <w:bookmarkStart w:id="156" w:name="_Toc21243"/>
      <w:r>
        <w:rPr>
          <w:rFonts w:hint="eastAsia" w:hAnsi="黑体" w:cs="黑体"/>
          <w:snapToGrid w:val="0"/>
          <w:color w:val="auto"/>
          <w:spacing w:val="8"/>
          <w:kern w:val="0"/>
          <w:sz w:val="21"/>
          <w:szCs w:val="21"/>
          <w:highlight w:val="none"/>
          <w:lang w:val="en-US" w:eastAsia="zh-CN"/>
        </w:rPr>
        <w:t>5</w:t>
      </w:r>
      <w:r>
        <w:rPr>
          <w:rFonts w:hint="eastAsia" w:ascii="黑体" w:hAnsi="黑体" w:eastAsia="黑体" w:cs="黑体"/>
          <w:snapToGrid w:val="0"/>
          <w:color w:val="auto"/>
          <w:spacing w:val="8"/>
          <w:kern w:val="0"/>
          <w:sz w:val="21"/>
          <w:szCs w:val="21"/>
          <w:highlight w:val="none"/>
          <w:lang w:val="en-US" w:eastAsia="zh-CN"/>
        </w:rPr>
        <w:t xml:space="preserve">.2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检测要求</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177205E">
      <w:pPr>
        <w:keepNext w:val="0"/>
        <w:keepLines w:val="0"/>
        <w:pageBreakBefore w:val="0"/>
        <w:widowControl/>
        <w:suppressLineNumbers w:val="0"/>
        <w:kinsoku w:val="0"/>
        <w:wordWrap/>
        <w:overflowPunct/>
        <w:topLinePunct w:val="0"/>
        <w:autoSpaceDE/>
        <w:autoSpaceDN/>
        <w:bidi w:val="0"/>
        <w:adjustRightInd w:val="0"/>
        <w:snapToGrid w:val="0"/>
        <w:spacing w:line="240" w:lineRule="auto"/>
        <w:jc w:val="left"/>
        <w:textAlignment w:val="baseline"/>
        <w:rPr>
          <w:rFonts w:hint="eastAsia" w:asciiTheme="minorEastAsia" w:hAnsiTheme="minorEastAsia" w:eastAsiaTheme="minorEastAsia" w:cstheme="minorEastAsia"/>
          <w:color w:val="auto"/>
          <w:sz w:val="21"/>
          <w:szCs w:val="21"/>
          <w:highlight w:val="none"/>
        </w:rPr>
      </w:pPr>
      <w:r>
        <w:rPr>
          <w:rFonts w:hint="eastAsia" w:ascii="黑体" w:hAnsi="黑体" w:eastAsia="黑体" w:cs="黑体"/>
          <w:snapToGrid w:val="0"/>
          <w:color w:val="auto"/>
          <w:kern w:val="0"/>
          <w:sz w:val="21"/>
          <w:szCs w:val="21"/>
          <w:lang w:val="en-US" w:eastAsia="zh-CN" w:bidi="ar"/>
        </w:rPr>
        <w:t>5.2.1　</w:t>
      </w:r>
      <w:r>
        <w:rPr>
          <w:rFonts w:hint="eastAsia" w:ascii="宋体" w:hAnsi="宋体" w:eastAsia="宋体" w:cs="宋体"/>
          <w:color w:val="auto"/>
          <w:kern w:val="0"/>
          <w:sz w:val="21"/>
          <w:szCs w:val="21"/>
          <w:lang w:val="en-US" w:eastAsia="zh-CN" w:bidi="ar"/>
        </w:rPr>
        <w:t>电气防火检测应在电气系统负荷不少于30%，运行1h以上，处于热稳定后进行。</w:t>
      </w:r>
      <w:r>
        <w:rPr>
          <w:rFonts w:hint="eastAsia" w:asciiTheme="minorEastAsia" w:hAnsiTheme="minorEastAsia" w:eastAsiaTheme="minorEastAsia" w:cstheme="minorEastAsia"/>
          <w:snapToGrid w:val="0"/>
          <w:color w:val="auto"/>
          <w:kern w:val="0"/>
          <w:sz w:val="21"/>
          <w:szCs w:val="21"/>
          <w:highlight w:val="none"/>
          <w:lang w:val="en-US" w:eastAsia="zh-CN" w:bidi="ar"/>
        </w:rPr>
        <w:t xml:space="preserve"> </w:t>
      </w:r>
    </w:p>
    <w:p w14:paraId="66FB21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color w:val="auto"/>
          <w:sz w:val="21"/>
          <w:szCs w:val="21"/>
          <w:highlight w:val="none"/>
        </w:rPr>
      </w:pPr>
      <w:r>
        <w:rPr>
          <w:rFonts w:hint="eastAsia" w:ascii="黑体" w:hAnsi="黑体" w:eastAsia="黑体" w:cs="黑体"/>
          <w:snapToGrid w:val="0"/>
          <w:color w:val="auto"/>
          <w:kern w:val="0"/>
          <w:sz w:val="21"/>
          <w:szCs w:val="21"/>
          <w:lang w:val="en-US" w:eastAsia="zh-CN" w:bidi="ar"/>
        </w:rPr>
        <w:t>5.2.2　</w:t>
      </w:r>
      <w:r>
        <w:rPr>
          <w:rFonts w:hint="eastAsia" w:ascii="宋体" w:hAnsi="宋体" w:eastAsia="宋体" w:cs="宋体"/>
          <w:color w:val="auto"/>
          <w:kern w:val="0"/>
          <w:sz w:val="21"/>
          <w:szCs w:val="21"/>
          <w:lang w:val="en-US" w:eastAsia="zh-CN" w:bidi="ar"/>
        </w:rPr>
        <w:t>检测时，委托单位应提供下列资料供现场检测参考使用</w:t>
      </w:r>
      <w:r>
        <w:rPr>
          <w:rFonts w:hint="eastAsia" w:ascii="宋体" w:hAnsi="宋体" w:cs="宋体"/>
          <w:color w:val="auto"/>
          <w:kern w:val="0"/>
          <w:sz w:val="21"/>
          <w:szCs w:val="21"/>
          <w:lang w:val="en-US" w:eastAsia="zh-CN" w:bidi="ar"/>
        </w:rPr>
        <w:t>：</w:t>
      </w:r>
    </w:p>
    <w:p w14:paraId="56D331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Theme="minorEastAsia" w:hAnsiTheme="minorEastAsia" w:eastAsiaTheme="minorEastAsia" w:cstheme="minorEastAsia"/>
          <w:color w:val="auto"/>
          <w:sz w:val="21"/>
          <w:szCs w:val="21"/>
          <w:highlight w:val="none"/>
        </w:rPr>
      </w:pPr>
      <w:r>
        <w:rPr>
          <w:rFonts w:hint="eastAsia" w:ascii="宋体" w:hAnsi="宋体" w:cs="宋体"/>
          <w:snapToGrid w:val="0"/>
          <w:color w:val="auto"/>
          <w:kern w:val="0"/>
          <w:sz w:val="21"/>
          <w:szCs w:val="21"/>
          <w:lang w:val="en-US" w:eastAsia="zh-CN" w:bidi="ar"/>
        </w:rPr>
        <w:t xml:space="preserve">a)  </w:t>
      </w:r>
      <w:r>
        <w:rPr>
          <w:rFonts w:hint="eastAsia" w:ascii="宋体" w:hAnsi="宋体" w:eastAsia="宋体" w:cs="宋体"/>
          <w:color w:val="auto"/>
          <w:kern w:val="0"/>
          <w:sz w:val="21"/>
          <w:szCs w:val="21"/>
          <w:lang w:val="en-US" w:eastAsia="zh-CN" w:bidi="ar"/>
        </w:rPr>
        <w:t>配电系统图；保护、控制、测量二次图</w:t>
      </w:r>
      <w:r>
        <w:rPr>
          <w:rFonts w:hint="eastAsia" w:ascii="宋体" w:hAnsi="宋体" w:cs="宋体"/>
          <w:color w:val="auto"/>
          <w:kern w:val="0"/>
          <w:sz w:val="21"/>
          <w:szCs w:val="21"/>
          <w:lang w:val="en-US" w:eastAsia="zh-CN" w:bidi="ar"/>
        </w:rPr>
        <w:t>；</w:t>
      </w:r>
      <w:r>
        <w:rPr>
          <w:rFonts w:hint="eastAsia" w:asciiTheme="minorEastAsia" w:hAnsiTheme="minorEastAsia" w:eastAsiaTheme="minorEastAsia" w:cstheme="minorEastAsia"/>
          <w:snapToGrid w:val="0"/>
          <w:color w:val="auto"/>
          <w:kern w:val="0"/>
          <w:sz w:val="21"/>
          <w:szCs w:val="21"/>
          <w:highlight w:val="none"/>
          <w:lang w:val="en-US" w:eastAsia="zh-CN" w:bidi="ar"/>
        </w:rPr>
        <w:t xml:space="preserve"> </w:t>
      </w:r>
    </w:p>
    <w:p w14:paraId="045316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Theme="minorEastAsia" w:hAnsiTheme="minorEastAsia" w:eastAsiaTheme="minorEastAsia" w:cstheme="minorEastAsia"/>
          <w:color w:val="auto"/>
          <w:sz w:val="21"/>
          <w:szCs w:val="21"/>
          <w:highlight w:val="none"/>
        </w:rPr>
      </w:pPr>
      <w:r>
        <w:rPr>
          <w:rFonts w:hint="eastAsia" w:ascii="宋体" w:hAnsi="宋体" w:cs="宋体"/>
          <w:snapToGrid w:val="0"/>
          <w:color w:val="auto"/>
          <w:kern w:val="0"/>
          <w:sz w:val="21"/>
          <w:szCs w:val="21"/>
          <w:lang w:val="en-US" w:eastAsia="zh-CN" w:bidi="ar"/>
        </w:rPr>
        <w:t xml:space="preserve">b)  </w:t>
      </w:r>
      <w:r>
        <w:rPr>
          <w:rFonts w:hint="eastAsia" w:asciiTheme="minorEastAsia" w:hAnsiTheme="minorEastAsia" w:eastAsiaTheme="minorEastAsia" w:cstheme="minorEastAsia"/>
          <w:snapToGrid w:val="0"/>
          <w:color w:val="auto"/>
          <w:kern w:val="0"/>
          <w:sz w:val="21"/>
          <w:szCs w:val="21"/>
          <w:highlight w:val="none"/>
          <w:lang w:val="en-US" w:eastAsia="zh-CN" w:bidi="ar"/>
        </w:rPr>
        <w:t xml:space="preserve">真实、完整的运行状况记录和维修记录； </w:t>
      </w:r>
    </w:p>
    <w:p w14:paraId="1AA460D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Theme="minorEastAsia" w:hAnsiTheme="minorEastAsia" w:eastAsiaTheme="minorEastAsia" w:cstheme="minorEastAsia"/>
          <w:color w:val="auto"/>
          <w:sz w:val="21"/>
          <w:szCs w:val="21"/>
          <w:highlight w:val="none"/>
        </w:rPr>
      </w:pPr>
      <w:r>
        <w:rPr>
          <w:rFonts w:hint="eastAsia" w:ascii="宋体" w:hAnsi="宋体" w:cs="宋体"/>
          <w:snapToGrid w:val="0"/>
          <w:color w:val="auto"/>
          <w:kern w:val="0"/>
          <w:sz w:val="21"/>
          <w:szCs w:val="21"/>
          <w:lang w:val="en-US" w:eastAsia="zh-CN" w:bidi="ar"/>
        </w:rPr>
        <w:t xml:space="preserve">c)  </w:t>
      </w:r>
      <w:r>
        <w:rPr>
          <w:rFonts w:hint="eastAsia" w:asciiTheme="minorEastAsia" w:hAnsiTheme="minorEastAsia" w:eastAsiaTheme="minorEastAsia" w:cstheme="minorEastAsia"/>
          <w:snapToGrid w:val="0"/>
          <w:color w:val="auto"/>
          <w:kern w:val="0"/>
          <w:sz w:val="21"/>
          <w:szCs w:val="21"/>
          <w:highlight w:val="none"/>
          <w:lang w:val="en-US" w:eastAsia="zh-CN" w:bidi="ar"/>
        </w:rPr>
        <w:t xml:space="preserve">历年的用电数据。 </w:t>
      </w:r>
    </w:p>
    <w:p w14:paraId="1147CD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color w:val="auto"/>
          <w:sz w:val="21"/>
          <w:szCs w:val="21"/>
          <w:highlight w:val="none"/>
        </w:rPr>
      </w:pPr>
      <w:r>
        <w:rPr>
          <w:rFonts w:hint="eastAsia" w:ascii="黑体" w:hAnsi="黑体" w:eastAsia="黑体" w:cs="黑体"/>
          <w:snapToGrid w:val="0"/>
          <w:color w:val="auto"/>
          <w:kern w:val="0"/>
          <w:sz w:val="21"/>
          <w:szCs w:val="21"/>
          <w:lang w:val="en-US" w:eastAsia="zh-CN" w:bidi="ar"/>
        </w:rPr>
        <w:t xml:space="preserve">5.2.3  </w:t>
      </w:r>
      <w:r>
        <w:rPr>
          <w:rFonts w:hint="eastAsia" w:asciiTheme="minorEastAsia" w:hAnsiTheme="minorEastAsia" w:eastAsiaTheme="minorEastAsia" w:cstheme="minorEastAsia"/>
          <w:snapToGrid w:val="0"/>
          <w:color w:val="auto"/>
          <w:kern w:val="0"/>
          <w:sz w:val="21"/>
          <w:szCs w:val="21"/>
          <w:highlight w:val="none"/>
          <w:lang w:val="en-US" w:eastAsia="zh-CN" w:bidi="ar"/>
        </w:rPr>
        <w:t xml:space="preserve">进行电气防火检测工作时，委托方应配合做好以下工作： </w:t>
      </w:r>
    </w:p>
    <w:p w14:paraId="6A3A44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Theme="minorEastAsia" w:hAnsiTheme="minorEastAsia" w:eastAsiaTheme="minorEastAsia" w:cstheme="minorEastAsia"/>
          <w:color w:val="auto"/>
          <w:sz w:val="21"/>
          <w:szCs w:val="21"/>
          <w:highlight w:val="none"/>
        </w:rPr>
      </w:pPr>
      <w:r>
        <w:rPr>
          <w:rFonts w:hint="eastAsia" w:ascii="宋体" w:hAnsi="宋体" w:cs="宋体"/>
          <w:snapToGrid w:val="0"/>
          <w:color w:val="auto"/>
          <w:kern w:val="0"/>
          <w:sz w:val="21"/>
          <w:szCs w:val="21"/>
          <w:lang w:val="en-US" w:eastAsia="zh-CN" w:bidi="ar"/>
        </w:rPr>
        <w:t xml:space="preserve">a)  </w:t>
      </w:r>
      <w:r>
        <w:rPr>
          <w:rFonts w:hint="eastAsia" w:asciiTheme="minorEastAsia" w:hAnsiTheme="minorEastAsia" w:eastAsiaTheme="minorEastAsia" w:cstheme="minorEastAsia"/>
          <w:snapToGrid w:val="0"/>
          <w:color w:val="auto"/>
          <w:kern w:val="0"/>
          <w:sz w:val="21"/>
          <w:szCs w:val="21"/>
          <w:highlight w:val="none"/>
          <w:lang w:val="en-US" w:eastAsia="zh-CN" w:bidi="ar"/>
        </w:rPr>
        <w:t>做好有关线路的倒闸操作；</w:t>
      </w:r>
    </w:p>
    <w:p w14:paraId="794271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Theme="minorEastAsia" w:hAnsiTheme="minorEastAsia" w:eastAsiaTheme="minorEastAsia" w:cstheme="minorEastAsia"/>
          <w:color w:val="auto"/>
          <w:sz w:val="21"/>
          <w:szCs w:val="21"/>
          <w:highlight w:val="none"/>
        </w:rPr>
      </w:pPr>
      <w:r>
        <w:rPr>
          <w:rFonts w:hint="eastAsia" w:ascii="宋体" w:hAnsi="宋体" w:cs="宋体"/>
          <w:snapToGrid w:val="0"/>
          <w:color w:val="auto"/>
          <w:kern w:val="0"/>
          <w:sz w:val="21"/>
          <w:szCs w:val="21"/>
          <w:lang w:val="en-US" w:eastAsia="zh-CN" w:bidi="ar"/>
        </w:rPr>
        <w:t xml:space="preserve">b)  </w:t>
      </w:r>
      <w:r>
        <w:rPr>
          <w:rFonts w:hint="eastAsia" w:asciiTheme="minorEastAsia" w:hAnsiTheme="minorEastAsia" w:eastAsiaTheme="minorEastAsia" w:cstheme="minorEastAsia"/>
          <w:snapToGrid w:val="0"/>
          <w:color w:val="auto"/>
          <w:kern w:val="0"/>
          <w:sz w:val="21"/>
          <w:szCs w:val="21"/>
          <w:highlight w:val="none"/>
          <w:lang w:val="en-US" w:eastAsia="zh-CN" w:bidi="ar"/>
        </w:rPr>
        <w:t>做好现场安全提示；</w:t>
      </w:r>
    </w:p>
    <w:p w14:paraId="05963BB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Theme="minorEastAsia" w:hAnsiTheme="minorEastAsia" w:eastAsiaTheme="minorEastAsia" w:cstheme="minorEastAsia"/>
          <w:color w:val="auto"/>
          <w:sz w:val="21"/>
          <w:szCs w:val="21"/>
          <w:highlight w:val="none"/>
        </w:rPr>
      </w:pPr>
      <w:r>
        <w:rPr>
          <w:rFonts w:hint="eastAsia" w:ascii="宋体" w:hAnsi="宋体" w:cs="宋体"/>
          <w:snapToGrid w:val="0"/>
          <w:color w:val="auto"/>
          <w:kern w:val="0"/>
          <w:sz w:val="21"/>
          <w:szCs w:val="21"/>
          <w:lang w:val="en-US" w:eastAsia="zh-CN" w:bidi="ar"/>
        </w:rPr>
        <w:t xml:space="preserve">c)  </w:t>
      </w:r>
      <w:r>
        <w:rPr>
          <w:rFonts w:hint="eastAsia" w:asciiTheme="minorEastAsia" w:hAnsiTheme="minorEastAsia" w:eastAsiaTheme="minorEastAsia" w:cstheme="minorEastAsia"/>
          <w:snapToGrid w:val="0"/>
          <w:color w:val="auto"/>
          <w:kern w:val="0"/>
          <w:sz w:val="21"/>
          <w:szCs w:val="21"/>
          <w:highlight w:val="none"/>
          <w:lang w:val="en-US" w:eastAsia="zh-CN" w:bidi="ar"/>
        </w:rPr>
        <w:t>做好现场安全监护工作；</w:t>
      </w:r>
    </w:p>
    <w:p w14:paraId="4298CD5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Theme="minorEastAsia" w:hAnsiTheme="minorEastAsia" w:eastAsiaTheme="minorEastAsia" w:cstheme="minorEastAsia"/>
          <w:color w:val="auto"/>
          <w:sz w:val="21"/>
          <w:szCs w:val="21"/>
          <w:highlight w:val="none"/>
        </w:rPr>
      </w:pPr>
      <w:r>
        <w:rPr>
          <w:rFonts w:hint="eastAsia" w:ascii="宋体" w:hAnsi="宋体" w:cs="宋体"/>
          <w:snapToGrid w:val="0"/>
          <w:color w:val="auto"/>
          <w:kern w:val="0"/>
          <w:sz w:val="21"/>
          <w:szCs w:val="21"/>
          <w:lang w:val="en-US" w:eastAsia="zh-CN" w:bidi="ar"/>
        </w:rPr>
        <w:t xml:space="preserve">d)  </w:t>
      </w:r>
      <w:r>
        <w:rPr>
          <w:rFonts w:hint="eastAsia" w:asciiTheme="minorEastAsia" w:hAnsiTheme="minorEastAsia" w:eastAsiaTheme="minorEastAsia" w:cstheme="minorEastAsia"/>
          <w:snapToGrid w:val="0"/>
          <w:color w:val="auto"/>
          <w:kern w:val="0"/>
          <w:sz w:val="21"/>
          <w:szCs w:val="21"/>
          <w:highlight w:val="none"/>
          <w:lang w:val="en-US" w:eastAsia="zh-CN" w:bidi="ar"/>
        </w:rPr>
        <w:t>配合相关设备拆装、启合等操作；</w:t>
      </w:r>
    </w:p>
    <w:p w14:paraId="733842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Theme="minorEastAsia" w:hAnsiTheme="minorEastAsia" w:eastAsiaTheme="minorEastAsia" w:cstheme="minorEastAsia"/>
          <w:color w:val="auto"/>
          <w:sz w:val="21"/>
          <w:szCs w:val="21"/>
          <w:highlight w:val="none"/>
        </w:rPr>
      </w:pPr>
      <w:r>
        <w:rPr>
          <w:rFonts w:hint="eastAsia" w:ascii="宋体" w:hAnsi="宋体" w:cs="宋体"/>
          <w:snapToGrid w:val="0"/>
          <w:color w:val="auto"/>
          <w:kern w:val="0"/>
          <w:sz w:val="21"/>
          <w:szCs w:val="21"/>
          <w:lang w:val="en-US" w:eastAsia="zh-CN" w:bidi="ar"/>
        </w:rPr>
        <w:t xml:space="preserve">e)  </w:t>
      </w:r>
      <w:r>
        <w:rPr>
          <w:rFonts w:hint="eastAsia" w:asciiTheme="minorEastAsia" w:hAnsiTheme="minorEastAsia" w:eastAsiaTheme="minorEastAsia" w:cstheme="minorEastAsia"/>
          <w:snapToGrid w:val="0"/>
          <w:color w:val="auto"/>
          <w:kern w:val="0"/>
          <w:sz w:val="21"/>
          <w:szCs w:val="21"/>
          <w:highlight w:val="none"/>
          <w:lang w:val="en-US" w:eastAsia="zh-CN" w:bidi="ar"/>
        </w:rPr>
        <w:t xml:space="preserve">做好其他现场检测必要的配合。 </w:t>
      </w:r>
    </w:p>
    <w:p w14:paraId="353E5C0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color w:val="auto"/>
          <w:sz w:val="21"/>
          <w:szCs w:val="21"/>
          <w:highlight w:val="none"/>
        </w:rPr>
      </w:pPr>
      <w:r>
        <w:rPr>
          <w:rFonts w:hint="eastAsia" w:ascii="黑体" w:hAnsi="黑体" w:eastAsia="黑体" w:cs="黑体"/>
          <w:snapToGrid w:val="0"/>
          <w:color w:val="auto"/>
          <w:kern w:val="0"/>
          <w:sz w:val="21"/>
          <w:szCs w:val="21"/>
          <w:lang w:val="en-US" w:eastAsia="zh-CN" w:bidi="ar"/>
        </w:rPr>
        <w:t>5.2.4</w:t>
      </w:r>
      <w:r>
        <w:rPr>
          <w:rFonts w:hint="eastAsia" w:asciiTheme="minorEastAsia" w:hAnsiTheme="minorEastAsia" w:eastAsiaTheme="minorEastAsia" w:cstheme="minorEastAsia"/>
          <w:snapToGrid w:val="0"/>
          <w:color w:val="auto"/>
          <w:kern w:val="0"/>
          <w:sz w:val="21"/>
          <w:szCs w:val="21"/>
          <w:highlight w:val="none"/>
          <w:lang w:val="en-US" w:eastAsia="zh-CN" w:bidi="ar"/>
        </w:rPr>
        <w:t xml:space="preserve">  现场检测应遵守电气高、低压安全作业及委托方其他安全相关规定。 </w:t>
      </w:r>
    </w:p>
    <w:p w14:paraId="21D36197">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2"/>
        <w:rPr>
          <w:rFonts w:hint="default" w:ascii="黑体" w:hAnsi="黑体" w:eastAsia="黑体" w:cs="黑体"/>
          <w:snapToGrid w:val="0"/>
          <w:color w:val="auto"/>
          <w:spacing w:val="8"/>
          <w:kern w:val="0"/>
          <w:sz w:val="21"/>
          <w:szCs w:val="21"/>
          <w:highlight w:val="none"/>
          <w:lang w:val="en-US" w:eastAsia="zh-CN"/>
        </w:rPr>
      </w:pPr>
      <w:bookmarkStart w:id="157" w:name="_Toc1344"/>
      <w:bookmarkStart w:id="158" w:name="_Toc14973"/>
      <w:bookmarkStart w:id="159" w:name="_Toc10906"/>
      <w:bookmarkStart w:id="160" w:name="_Toc8664"/>
      <w:bookmarkStart w:id="161" w:name="_Toc21506"/>
      <w:bookmarkStart w:id="162" w:name="_Toc32450"/>
      <w:bookmarkStart w:id="163" w:name="_Toc23618"/>
      <w:bookmarkStart w:id="164" w:name="_Toc24295"/>
      <w:bookmarkStart w:id="165" w:name="_Toc25788"/>
      <w:bookmarkStart w:id="166" w:name="_Toc28260"/>
      <w:bookmarkStart w:id="167" w:name="_Toc20279"/>
      <w:bookmarkStart w:id="168" w:name="_Toc30179"/>
      <w:bookmarkStart w:id="169" w:name="_Toc25561"/>
      <w:bookmarkStart w:id="170" w:name="_Toc27368"/>
      <w:r>
        <w:rPr>
          <w:rFonts w:hint="eastAsia" w:hAnsi="黑体" w:cs="黑体"/>
          <w:snapToGrid w:val="0"/>
          <w:color w:val="auto"/>
          <w:spacing w:val="8"/>
          <w:kern w:val="0"/>
          <w:sz w:val="21"/>
          <w:szCs w:val="21"/>
          <w:highlight w:val="none"/>
          <w:lang w:val="en-US" w:eastAsia="zh-CN"/>
        </w:rPr>
        <w:t>5</w:t>
      </w:r>
      <w:r>
        <w:rPr>
          <w:rFonts w:hint="eastAsia" w:ascii="黑体" w:hAnsi="黑体" w:eastAsia="黑体" w:cs="黑体"/>
          <w:snapToGrid w:val="0"/>
          <w:color w:val="auto"/>
          <w:spacing w:val="8"/>
          <w:kern w:val="0"/>
          <w:sz w:val="21"/>
          <w:szCs w:val="21"/>
          <w:highlight w:val="none"/>
          <w:lang w:val="en-US" w:eastAsia="zh-CN"/>
        </w:rPr>
        <w:t xml:space="preserve">.3 </w:t>
      </w:r>
      <w:r>
        <w:rPr>
          <w:rFonts w:hint="eastAsia" w:hAnsi="黑体" w:cs="黑体"/>
          <w:snapToGrid w:val="0"/>
          <w:color w:val="auto"/>
          <w:spacing w:val="8"/>
          <w:kern w:val="0"/>
          <w:sz w:val="21"/>
          <w:szCs w:val="21"/>
          <w:highlight w:val="none"/>
          <w:lang w:val="en-US" w:eastAsia="zh-CN"/>
        </w:rPr>
        <w:t xml:space="preserve"> 抽样原则</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7BC4C73C">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0" w:after="0" w:afterLines="0" w:line="240" w:lineRule="auto"/>
        <w:textAlignment w:val="auto"/>
        <w:outlineLvl w:val="9"/>
        <w:rPr>
          <w:rFonts w:hint="eastAsia" w:ascii="宋体" w:hAnsi="宋体" w:eastAsia="宋体" w:cs="宋体"/>
          <w:color w:val="auto"/>
          <w:sz w:val="21"/>
          <w:szCs w:val="21"/>
          <w:lang w:val="en-US" w:eastAsia="zh-CN"/>
        </w:rPr>
      </w:pPr>
      <w:r>
        <w:rPr>
          <w:rFonts w:hint="eastAsia" w:hAnsi="黑体" w:cs="黑体"/>
          <w:snapToGrid w:val="0"/>
          <w:color w:val="auto"/>
          <w:kern w:val="0"/>
          <w:sz w:val="21"/>
          <w:szCs w:val="21"/>
          <w:lang w:val="en-US" w:eastAsia="zh-CN" w:bidi="ar"/>
        </w:rPr>
        <w:t>5</w:t>
      </w:r>
      <w:r>
        <w:rPr>
          <w:rFonts w:hint="eastAsia" w:ascii="黑体" w:hAnsi="黑体" w:eastAsia="黑体" w:cs="黑体"/>
          <w:snapToGrid w:val="0"/>
          <w:color w:val="auto"/>
          <w:kern w:val="0"/>
          <w:sz w:val="21"/>
          <w:szCs w:val="21"/>
          <w:lang w:val="en-US" w:eastAsia="zh-CN" w:bidi="ar"/>
        </w:rPr>
        <w:t>.</w:t>
      </w:r>
      <w:r>
        <w:rPr>
          <w:rFonts w:hint="eastAsia" w:hAnsi="黑体" w:cs="黑体"/>
          <w:snapToGrid w:val="0"/>
          <w:color w:val="auto"/>
          <w:kern w:val="0"/>
          <w:sz w:val="21"/>
          <w:szCs w:val="21"/>
          <w:lang w:val="en-US" w:eastAsia="zh-CN" w:bidi="ar"/>
        </w:rPr>
        <w:t>3</w:t>
      </w:r>
      <w:r>
        <w:rPr>
          <w:rFonts w:hint="eastAsia" w:ascii="黑体" w:hAnsi="黑体" w:eastAsia="黑体" w:cs="黑体"/>
          <w:snapToGrid w:val="0"/>
          <w:color w:val="auto"/>
          <w:kern w:val="0"/>
          <w:sz w:val="21"/>
          <w:szCs w:val="21"/>
          <w:lang w:val="en-US" w:eastAsia="zh-CN" w:bidi="ar"/>
        </w:rPr>
        <w:t>.</w:t>
      </w:r>
      <w:r>
        <w:rPr>
          <w:rFonts w:hint="eastAsia" w:hAnsi="黑体" w:cs="黑体"/>
          <w:snapToGrid w:val="0"/>
          <w:color w:val="auto"/>
          <w:kern w:val="0"/>
          <w:sz w:val="21"/>
          <w:szCs w:val="21"/>
          <w:lang w:val="en-US" w:eastAsia="zh-CN" w:bidi="ar"/>
        </w:rPr>
        <w:t xml:space="preserve">1  </w:t>
      </w:r>
      <w:r>
        <w:rPr>
          <w:rFonts w:hint="eastAsia" w:ascii="宋体" w:hAnsi="宋体" w:eastAsia="宋体" w:cs="宋体"/>
          <w:color w:val="auto"/>
          <w:kern w:val="0"/>
          <w:sz w:val="21"/>
          <w:szCs w:val="21"/>
          <w:lang w:val="en-US" w:eastAsia="zh-CN" w:bidi="ar"/>
        </w:rPr>
        <w:t>变压器、高压配电装置等应全部检测。</w:t>
      </w:r>
    </w:p>
    <w:p w14:paraId="3669E531">
      <w:pPr>
        <w:pStyle w:val="258"/>
        <w:keepNext w:val="0"/>
        <w:keepLines w:val="0"/>
        <w:pageBreakBefore w:val="0"/>
        <w:widowControl/>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auto"/>
          <w:sz w:val="21"/>
          <w:szCs w:val="21"/>
          <w:lang w:val="en-US" w:eastAsia="zh-CN"/>
        </w:rPr>
      </w:pPr>
      <w:r>
        <w:rPr>
          <w:rFonts w:hint="eastAsia" w:ascii="黑体" w:hAnsi="黑体" w:eastAsia="黑体" w:cs="黑体"/>
          <w:snapToGrid w:val="0"/>
          <w:color w:val="auto"/>
          <w:kern w:val="0"/>
          <w:sz w:val="21"/>
          <w:szCs w:val="21"/>
          <w:lang w:val="en-US" w:eastAsia="zh-CN" w:bidi="ar"/>
        </w:rPr>
        <w:t>5.3.2</w:t>
      </w:r>
      <w:r>
        <w:rPr>
          <w:rFonts w:hint="eastAsia" w:hAnsi="黑体" w:cs="黑体"/>
          <w:snapToGrid w:val="0"/>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低压电器按防火分区或楼层实际安装数量进行抽检。抽检率不少于30%，且不少于10台（安装数量10台及以下者，全部检测）。</w:t>
      </w:r>
    </w:p>
    <w:p w14:paraId="5852C7B5">
      <w:pPr>
        <w:pStyle w:val="258"/>
        <w:keepNext w:val="0"/>
        <w:keepLines w:val="0"/>
        <w:pageBreakBefore w:val="0"/>
        <w:widowControl/>
        <w:kinsoku/>
        <w:wordWrap/>
        <w:overflowPunct/>
        <w:topLinePunct w:val="0"/>
        <w:autoSpaceDE/>
        <w:autoSpaceDN/>
        <w:bidi w:val="0"/>
        <w:adjustRightInd/>
        <w:snapToGrid/>
        <w:ind w:left="0" w:leftChars="0" w:firstLine="0" w:firstLineChars="0"/>
        <w:textAlignment w:val="auto"/>
        <w:outlineLvl w:val="9"/>
        <w:rPr>
          <w:rFonts w:hint="eastAsia" w:hAnsi="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5.3.3  </w:t>
      </w:r>
      <w:r>
        <w:rPr>
          <w:rFonts w:hint="eastAsia" w:hAnsi="黑体" w:cs="黑体"/>
          <w:snapToGrid w:val="0"/>
          <w:color w:val="auto"/>
          <w:kern w:val="0"/>
          <w:sz w:val="21"/>
          <w:szCs w:val="21"/>
          <w:lang w:val="en-US" w:eastAsia="zh-CN" w:bidi="ar"/>
        </w:rPr>
        <w:t>在电缆沟、竖井、电缆隧道等成束敷设的电气线路应全部检测，分支线路按总数进行抽检，抽检率不低于20%，且每个防火分区或楼层不应少于2处。</w:t>
      </w:r>
    </w:p>
    <w:p w14:paraId="5AE8437B">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hAnsi="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5.3.4  </w:t>
      </w:r>
      <w:r>
        <w:rPr>
          <w:rFonts w:hint="eastAsia" w:hAnsi="黑体" w:cs="黑体"/>
          <w:snapToGrid w:val="0"/>
          <w:color w:val="auto"/>
          <w:kern w:val="0"/>
          <w:sz w:val="21"/>
          <w:szCs w:val="21"/>
          <w:lang w:val="en-US" w:eastAsia="zh-CN" w:bidi="ar"/>
        </w:rPr>
        <w:t>开关、插座、照明灯具和</w:t>
      </w:r>
      <w:r>
        <w:rPr>
          <w:rFonts w:ascii="䅂䍄䕅⯋컌" w:hAnsi="䅂䍄䕅⯋컌" w:eastAsia="䅂䍄䕅⯋컌" w:cs="䅂䍄䕅⯋컌"/>
          <w:color w:val="auto"/>
          <w:kern w:val="0"/>
          <w:sz w:val="21"/>
          <w:szCs w:val="21"/>
          <w:lang w:val="en-US" w:eastAsia="zh-CN" w:bidi="ar"/>
        </w:rPr>
        <w:t>其它用电电器</w:t>
      </w:r>
      <w:r>
        <w:rPr>
          <w:rFonts w:hint="eastAsia" w:hAnsi="黑体" w:cs="黑体"/>
          <w:snapToGrid w:val="0"/>
          <w:color w:val="auto"/>
          <w:kern w:val="0"/>
          <w:sz w:val="21"/>
          <w:szCs w:val="21"/>
          <w:lang w:val="en-US" w:eastAsia="zh-CN" w:bidi="ar"/>
        </w:rPr>
        <w:t>按防火分区或楼层进行抽检，抽检率不低于</w:t>
      </w:r>
      <w:r>
        <w:rPr>
          <w:rFonts w:hint="eastAsia" w:ascii="宋体" w:hAnsi="宋体" w:cs="宋体"/>
          <w:snapToGrid w:val="0"/>
          <w:color w:val="auto"/>
          <w:kern w:val="0"/>
          <w:sz w:val="21"/>
          <w:szCs w:val="21"/>
          <w:lang w:val="en-US" w:eastAsia="zh-CN" w:bidi="ar"/>
        </w:rPr>
        <w:t>1</w:t>
      </w:r>
      <w:r>
        <w:rPr>
          <w:rFonts w:hint="eastAsia" w:ascii="宋体" w:hAnsi="宋体" w:eastAsia="宋体" w:cs="宋体"/>
          <w:snapToGrid w:val="0"/>
          <w:color w:val="auto"/>
          <w:kern w:val="0"/>
          <w:sz w:val="21"/>
          <w:szCs w:val="21"/>
          <w:lang w:val="en-US" w:eastAsia="zh-CN" w:bidi="ar"/>
        </w:rPr>
        <w:t>0%</w:t>
      </w:r>
      <w:r>
        <w:rPr>
          <w:rFonts w:hint="eastAsia" w:hAnsi="黑体" w:cs="黑体"/>
          <w:snapToGrid w:val="0"/>
          <w:color w:val="auto"/>
          <w:kern w:val="0"/>
          <w:sz w:val="21"/>
          <w:szCs w:val="21"/>
          <w:lang w:val="en-US" w:eastAsia="zh-CN" w:bidi="ar"/>
        </w:rPr>
        <w:t>。</w:t>
      </w:r>
    </w:p>
    <w:p w14:paraId="0CD896E7">
      <w:pPr>
        <w:pStyle w:val="258"/>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Times New Roman" w:eastAsia="宋体" w:cs="Times New Roman"/>
          <w:color w:val="auto"/>
          <w:sz w:val="21"/>
          <w:lang w:val="en-US" w:eastAsia="zh-CN" w:bidi="ar-SA"/>
        </w:rPr>
      </w:pPr>
      <w:r>
        <w:rPr>
          <w:rFonts w:hint="eastAsia" w:ascii="黑体" w:hAnsi="黑体" w:eastAsia="黑体" w:cs="黑体"/>
          <w:snapToGrid w:val="0"/>
          <w:color w:val="auto"/>
          <w:kern w:val="0"/>
          <w:sz w:val="21"/>
          <w:szCs w:val="21"/>
          <w:lang w:val="en-US" w:eastAsia="zh-CN" w:bidi="ar"/>
        </w:rPr>
        <w:t xml:space="preserve">5.3.5  </w:t>
      </w:r>
      <w:r>
        <w:rPr>
          <w:rFonts w:hint="eastAsia" w:ascii="宋体" w:hAnsi="宋体" w:eastAsia="宋体" w:cs="宋体"/>
          <w:color w:val="auto"/>
          <w:kern w:val="0"/>
          <w:sz w:val="21"/>
          <w:szCs w:val="21"/>
          <w:lang w:val="en-US" w:eastAsia="zh-CN" w:bidi="ar"/>
        </w:rPr>
        <w:t>接地和等电位联结</w:t>
      </w:r>
      <w:r>
        <w:rPr>
          <w:rFonts w:hint="eastAsia" w:ascii="宋体" w:hAnsi="宋体" w:eastAsia="宋体" w:cs="宋体"/>
          <w:color w:val="auto"/>
          <w:sz w:val="21"/>
          <w:szCs w:val="21"/>
        </w:rPr>
        <w:t>按防火分区或楼层进行抽检</w:t>
      </w:r>
      <w:r>
        <w:rPr>
          <w:rFonts w:hint="eastAsia" w:ascii="宋体" w:hAnsi="宋体" w:cs="宋体"/>
          <w:color w:val="auto"/>
          <w:sz w:val="21"/>
          <w:szCs w:val="21"/>
          <w:lang w:eastAsia="zh-CN"/>
        </w:rPr>
        <w:t>，</w:t>
      </w:r>
      <w:r>
        <w:rPr>
          <w:rFonts w:hint="eastAsia" w:ascii="宋体" w:hAnsi="宋体" w:eastAsia="宋体" w:cs="宋体"/>
          <w:color w:val="auto"/>
          <w:kern w:val="0"/>
          <w:sz w:val="21"/>
          <w:szCs w:val="21"/>
          <w:lang w:val="en-US" w:eastAsia="zh-CN" w:bidi="ar"/>
        </w:rPr>
        <w:t xml:space="preserve">抽检率不低于30%。 </w:t>
      </w:r>
    </w:p>
    <w:p w14:paraId="53D4EA85">
      <w:pPr>
        <w:pStyle w:val="259"/>
        <w:bidi w:val="0"/>
        <w:rPr>
          <w:rFonts w:hint="eastAsia"/>
          <w:color w:val="auto"/>
          <w:lang w:val="en-US" w:eastAsia="zh-CN"/>
        </w:rPr>
      </w:pPr>
      <w:bookmarkStart w:id="171" w:name="_Toc22702"/>
      <w:r>
        <w:rPr>
          <w:rFonts w:hint="eastAsia" w:hAnsi="Times New Roman" w:cs="Times New Roman"/>
          <w:color w:val="auto"/>
        </w:rPr>
        <w:t>技术要求</w:t>
      </w:r>
      <w:bookmarkEnd w:id="69"/>
      <w:bookmarkEnd w:id="70"/>
      <w:bookmarkEnd w:id="71"/>
      <w:bookmarkEnd w:id="72"/>
      <w:bookmarkEnd w:id="73"/>
      <w:bookmarkEnd w:id="74"/>
      <w:bookmarkEnd w:id="75"/>
      <w:bookmarkEnd w:id="76"/>
      <w:bookmarkEnd w:id="77"/>
      <w:bookmarkEnd w:id="78"/>
      <w:bookmarkEnd w:id="79"/>
      <w:bookmarkEnd w:id="171"/>
    </w:p>
    <w:p w14:paraId="75E6E1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outlineLvl w:val="2"/>
        <w:rPr>
          <w:rFonts w:hint="eastAsia" w:ascii="黑体" w:hAnsi="黑体" w:eastAsia="黑体" w:cs="黑体"/>
          <w:snapToGrid w:val="0"/>
          <w:color w:val="auto"/>
          <w:kern w:val="0"/>
          <w:sz w:val="21"/>
          <w:szCs w:val="21"/>
          <w:lang w:val="en-US" w:eastAsia="zh-CN" w:bidi="ar"/>
        </w:rPr>
      </w:pPr>
      <w:bookmarkStart w:id="172" w:name="_Toc16769"/>
      <w:bookmarkStart w:id="173" w:name="_Toc17322"/>
      <w:bookmarkStart w:id="174" w:name="_Toc17937"/>
      <w:bookmarkStart w:id="175" w:name="_Toc3251"/>
      <w:bookmarkStart w:id="176" w:name="_Toc18209"/>
      <w:bookmarkStart w:id="177" w:name="_Toc21603"/>
      <w:bookmarkStart w:id="178" w:name="_Toc15428"/>
      <w:bookmarkStart w:id="179" w:name="_Toc24278"/>
      <w:bookmarkStart w:id="180" w:name="_Toc27352"/>
      <w:bookmarkStart w:id="181" w:name="_Toc19025"/>
      <w:bookmarkStart w:id="182" w:name="_Toc10293"/>
      <w:bookmarkStart w:id="183" w:name="_Toc3133"/>
      <w:bookmarkStart w:id="184" w:name="_Toc27178"/>
      <w:bookmarkStart w:id="185" w:name="_Toc9235"/>
      <w:bookmarkStart w:id="186" w:name="_Toc13084"/>
      <w:bookmarkStart w:id="187" w:name="_Toc3975"/>
      <w:bookmarkStart w:id="188" w:name="_Toc2649"/>
      <w:bookmarkStart w:id="189" w:name="_Toc24768"/>
      <w:bookmarkStart w:id="190" w:name="_Toc17455"/>
      <w:bookmarkStart w:id="191" w:name="_Toc31861"/>
      <w:bookmarkStart w:id="192" w:name="_Toc25549"/>
      <w:bookmarkStart w:id="193" w:name="_Toc13296"/>
      <w:bookmarkStart w:id="194" w:name="_Toc2300"/>
      <w:bookmarkStart w:id="195" w:name="_Toc19086"/>
      <w:r>
        <w:rPr>
          <w:rFonts w:hint="eastAsia" w:ascii="黑体" w:hAnsi="黑体" w:eastAsia="黑体" w:cs="黑体"/>
          <w:snapToGrid w:val="0"/>
          <w:color w:val="auto"/>
          <w:kern w:val="0"/>
          <w:sz w:val="21"/>
          <w:szCs w:val="21"/>
          <w:lang w:val="en-US" w:eastAsia="zh-CN" w:bidi="ar"/>
        </w:rPr>
        <w:t>6.1  变配电装置</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74464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outlineLvl w:val="3"/>
        <w:rPr>
          <w:rFonts w:hint="eastAsia" w:ascii="黑体" w:hAnsi="黑体" w:eastAsia="黑体" w:cs="黑体"/>
          <w:snapToGrid w:val="0"/>
          <w:color w:val="auto"/>
          <w:kern w:val="0"/>
          <w:sz w:val="21"/>
          <w:szCs w:val="21"/>
          <w:lang w:val="en-US" w:eastAsia="zh-CN" w:bidi="ar"/>
        </w:rPr>
      </w:pPr>
      <w:bookmarkStart w:id="196" w:name="_Toc8867"/>
      <w:r>
        <w:rPr>
          <w:rFonts w:hint="eastAsia" w:ascii="黑体" w:hAnsi="黑体" w:eastAsia="黑体" w:cs="黑体"/>
          <w:snapToGrid w:val="0"/>
          <w:color w:val="auto"/>
          <w:kern w:val="0"/>
          <w:sz w:val="21"/>
          <w:szCs w:val="21"/>
          <w:lang w:val="en-US" w:eastAsia="zh-CN" w:bidi="ar"/>
        </w:rPr>
        <w:t>6.1.1  配电变压器</w:t>
      </w:r>
      <w:bookmarkEnd w:id="196"/>
    </w:p>
    <w:p w14:paraId="215FB6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rPr>
          <w:rFonts w:hint="eastAsia" w:ascii="黑体" w:hAnsi="黑体" w:eastAsia="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6.1.1.1  直观检查</w:t>
      </w:r>
    </w:p>
    <w:p w14:paraId="68E312EB">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color w:val="auto"/>
          <w:sz w:val="21"/>
          <w:lang w:val="en-US" w:eastAsia="zh-CN" w:bidi="ar-SA"/>
        </w:rPr>
        <w:t>6.1.1.1.1</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配电变压器设备周围和设置配电变压器的室内</w:t>
      </w:r>
      <w:r>
        <w:rPr>
          <w:rFonts w:hint="eastAsia" w:ascii="宋体" w:hAnsi="宋体" w:cs="宋体"/>
          <w:snapToGrid w:val="0"/>
          <w:color w:val="auto"/>
          <w:kern w:val="0"/>
          <w:sz w:val="21"/>
          <w:szCs w:val="21"/>
          <w:lang w:val="en-US" w:eastAsia="zh-CN" w:bidi="ar"/>
        </w:rPr>
        <w:t>不应</w:t>
      </w:r>
      <w:r>
        <w:rPr>
          <w:rFonts w:hint="eastAsia" w:ascii="宋体" w:hAnsi="宋体" w:eastAsia="宋体" w:cs="宋体"/>
          <w:snapToGrid w:val="0"/>
          <w:color w:val="auto"/>
          <w:kern w:val="0"/>
          <w:sz w:val="21"/>
          <w:szCs w:val="21"/>
          <w:lang w:val="en-US" w:eastAsia="zh-CN" w:bidi="ar"/>
        </w:rPr>
        <w:t>存放可燃物和其他杂物。</w:t>
      </w:r>
    </w:p>
    <w:p w14:paraId="083E3CB9">
      <w:pPr>
        <w:keepNext w:val="0"/>
        <w:keepLines w:val="0"/>
        <w:widowControl/>
        <w:suppressLineNumbers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color w:val="auto"/>
          <w:sz w:val="21"/>
          <w:lang w:val="en-US" w:eastAsia="zh-CN" w:bidi="ar-SA"/>
        </w:rPr>
        <w:t>6.1.1.1.2</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变压器室应设置防止雨、雪和蛇、鼠等小动物从采光窗、通风窗、门、电缆沟等处进入室内的设施。</w:t>
      </w:r>
    </w:p>
    <w:p w14:paraId="7E529CB8">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color w:val="auto"/>
          <w:sz w:val="21"/>
          <w:lang w:val="en-US" w:eastAsia="zh-CN" w:bidi="ar-SA"/>
        </w:rPr>
        <w:t>6.1.1.1.3</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变压器引线接头、电缆、母线应无发热迹象。</w:t>
      </w:r>
    </w:p>
    <w:p w14:paraId="5CFFC844">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default" w:ascii="宋体" w:hAnsi="宋体" w:eastAsia="宋体" w:cs="宋体"/>
          <w:snapToGrid w:val="0"/>
          <w:color w:val="auto"/>
          <w:kern w:val="0"/>
          <w:sz w:val="21"/>
          <w:szCs w:val="21"/>
          <w:lang w:val="en-US" w:eastAsia="zh-CN" w:bidi="ar"/>
        </w:rPr>
      </w:pPr>
      <w:r>
        <w:rPr>
          <w:rFonts w:hint="eastAsia" w:ascii="黑体" w:hAnsi="黑体" w:eastAsia="黑体" w:cs="黑体"/>
          <w:color w:val="auto"/>
          <w:sz w:val="21"/>
          <w:lang w:val="en-US" w:eastAsia="zh-CN" w:bidi="ar-SA"/>
        </w:rPr>
        <w:t xml:space="preserve">6.1.1.1.4  </w:t>
      </w:r>
      <w:r>
        <w:rPr>
          <w:rFonts w:hint="eastAsia" w:ascii="宋体" w:hAnsi="宋体" w:cs="宋体"/>
          <w:snapToGrid w:val="0"/>
          <w:color w:val="auto"/>
          <w:kern w:val="0"/>
          <w:sz w:val="21"/>
          <w:szCs w:val="21"/>
          <w:lang w:val="en-US" w:eastAsia="zh-CN" w:bidi="ar"/>
        </w:rPr>
        <w:t>套管油位应正常，套管外部无破损裂纹、无油污、无放电痕迹及其他异常现象。</w:t>
      </w:r>
    </w:p>
    <w:p w14:paraId="7D4FDC7C">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default" w:ascii="宋体" w:hAnsi="宋体" w:eastAsia="宋体" w:cs="宋体"/>
          <w:snapToGrid w:val="0"/>
          <w:color w:val="auto"/>
          <w:kern w:val="0"/>
          <w:sz w:val="21"/>
          <w:szCs w:val="21"/>
          <w:lang w:val="en-US" w:eastAsia="zh-CN" w:bidi="ar"/>
        </w:rPr>
      </w:pPr>
      <w:r>
        <w:rPr>
          <w:rFonts w:hint="eastAsia" w:ascii="黑体" w:hAnsi="黑体" w:eastAsia="黑体" w:cs="黑体"/>
          <w:color w:val="auto"/>
          <w:sz w:val="21"/>
          <w:lang w:val="en-US" w:eastAsia="zh-CN" w:bidi="ar-SA"/>
        </w:rPr>
        <w:t>6.1.1.1.5</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变压器声响均匀、正常</w:t>
      </w:r>
      <w:r>
        <w:rPr>
          <w:rFonts w:hint="eastAsia" w:ascii="宋体" w:hAnsi="宋体" w:cs="宋体"/>
          <w:snapToGrid w:val="0"/>
          <w:color w:val="auto"/>
          <w:kern w:val="0"/>
          <w:sz w:val="21"/>
          <w:szCs w:val="21"/>
          <w:lang w:val="en-US" w:eastAsia="zh-CN" w:bidi="ar"/>
        </w:rPr>
        <w:t>。</w:t>
      </w:r>
    </w:p>
    <w:p w14:paraId="57065E5E">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color w:val="auto"/>
          <w:sz w:val="21"/>
          <w:lang w:val="en-US" w:eastAsia="zh-CN" w:bidi="ar-SA"/>
        </w:rPr>
        <w:t>6.1.1.1.6</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油浸式变压器</w:t>
      </w:r>
    </w:p>
    <w:p w14:paraId="46E36A68">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应符合以下要求</w:t>
      </w:r>
      <w:r>
        <w:rPr>
          <w:rFonts w:hint="eastAsia" w:ascii="宋体" w:hAnsi="宋体" w:cs="宋体"/>
          <w:snapToGrid w:val="0"/>
          <w:color w:val="auto"/>
          <w:kern w:val="0"/>
          <w:sz w:val="21"/>
          <w:szCs w:val="21"/>
          <w:lang w:val="en-US" w:eastAsia="zh-CN" w:bidi="ar"/>
        </w:rPr>
        <w:t>：</w:t>
      </w:r>
    </w:p>
    <w:p w14:paraId="5F410158">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a)  储油柜的油位应与温度相对应，各部位无渗油、漏油；</w:t>
      </w:r>
    </w:p>
    <w:p w14:paraId="175A5207">
      <w:pPr>
        <w:keepNext w:val="0"/>
        <w:keepLines w:val="0"/>
        <w:pageBreakBefore w:val="0"/>
        <w:widowControl/>
        <w:suppressLineNumbers w:val="0"/>
        <w:overflowPunct/>
        <w:topLinePunct w:val="0"/>
        <w:bidi w:val="0"/>
        <w:ind w:firstLine="420" w:firstLineChars="200"/>
        <w:jc w:val="left"/>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自带测温装置的变压器顶层油温</w:t>
      </w:r>
      <w:r>
        <w:rPr>
          <w:rFonts w:hint="eastAsia" w:ascii="宋体" w:hAnsi="宋体" w:cs="宋体"/>
          <w:snapToGrid w:val="0"/>
          <w:color w:val="auto"/>
          <w:kern w:val="0"/>
          <w:sz w:val="21"/>
          <w:szCs w:val="21"/>
          <w:lang w:val="en-US" w:eastAsia="zh-CN" w:bidi="ar"/>
        </w:rPr>
        <w:t>，</w:t>
      </w:r>
      <w:r>
        <w:rPr>
          <w:rFonts w:hint="eastAsia" w:ascii="宋体" w:hAnsi="宋体" w:eastAsia="宋体" w:cs="宋体"/>
          <w:color w:val="auto"/>
          <w:kern w:val="0"/>
          <w:sz w:val="21"/>
          <w:szCs w:val="18"/>
          <w:lang w:val="en-US" w:eastAsia="zh-CN" w:bidi="ar"/>
        </w:rPr>
        <w:t>不</w:t>
      </w:r>
      <w:r>
        <w:rPr>
          <w:rFonts w:hint="eastAsia" w:ascii="宋体" w:hAnsi="宋体" w:cs="宋体"/>
          <w:color w:val="auto"/>
          <w:kern w:val="0"/>
          <w:sz w:val="21"/>
          <w:szCs w:val="21"/>
          <w:lang w:val="en-US" w:eastAsia="zh-CN" w:bidi="ar"/>
        </w:rPr>
        <w:t>应</w:t>
      </w:r>
      <w:r>
        <w:rPr>
          <w:rFonts w:hint="eastAsia" w:ascii="宋体" w:hAnsi="宋体" w:eastAsia="宋体" w:cs="宋体"/>
          <w:color w:val="auto"/>
          <w:kern w:val="0"/>
          <w:sz w:val="21"/>
          <w:szCs w:val="21"/>
          <w:lang w:val="en-US" w:eastAsia="zh-CN" w:bidi="ar"/>
        </w:rPr>
        <w:t>超过</w:t>
      </w:r>
      <w:r>
        <w:rPr>
          <w:rFonts w:hint="eastAsia" w:ascii="宋体" w:hAnsi="宋体" w:cs="宋体"/>
          <w:color w:val="auto"/>
          <w:spacing w:val="20"/>
          <w:kern w:val="0"/>
          <w:sz w:val="21"/>
          <w:szCs w:val="21"/>
          <w:lang w:val="en-US" w:eastAsia="zh-CN" w:bidi="ar"/>
        </w:rPr>
        <w:t>9</w:t>
      </w:r>
      <w:r>
        <w:rPr>
          <w:rFonts w:hint="eastAsia" w:ascii="宋体" w:hAnsi="宋体" w:eastAsia="宋体" w:cs="宋体"/>
          <w:color w:val="auto"/>
          <w:spacing w:val="20"/>
          <w:kern w:val="0"/>
          <w:sz w:val="21"/>
          <w:szCs w:val="21"/>
          <w:lang w:val="en-US" w:eastAsia="zh-CN" w:bidi="ar"/>
        </w:rPr>
        <w:t>5℃</w:t>
      </w:r>
      <w:r>
        <w:rPr>
          <w:rFonts w:hint="eastAsia" w:ascii="宋体" w:hAnsi="宋体" w:eastAsia="宋体" w:cs="宋体"/>
          <w:snapToGrid w:val="0"/>
          <w:color w:val="auto"/>
          <w:kern w:val="0"/>
          <w:sz w:val="21"/>
          <w:szCs w:val="21"/>
          <w:lang w:val="en-US" w:eastAsia="zh-CN" w:bidi="ar"/>
        </w:rPr>
        <w:t>。</w:t>
      </w:r>
    </w:p>
    <w:p w14:paraId="7E83AC6A">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color w:val="auto"/>
          <w:sz w:val="21"/>
          <w:lang w:val="en-US" w:eastAsia="zh-CN" w:bidi="ar-SA"/>
        </w:rPr>
        <w:t>6.1.1.1.7</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干式变压器与非充油的高、低压配电装置相互靠近布置在配电室内时，二者的外壳</w:t>
      </w:r>
      <w:r>
        <w:rPr>
          <w:rFonts w:hint="eastAsia"/>
          <w:color w:val="auto"/>
          <w:lang w:val="en-US" w:eastAsia="zh-CN"/>
        </w:rPr>
        <w:t>防护等级</w:t>
      </w:r>
      <w:r>
        <w:rPr>
          <w:rFonts w:hint="eastAsia" w:ascii="宋体" w:hAnsi="宋体" w:eastAsia="宋体" w:cs="宋体"/>
          <w:snapToGrid w:val="0"/>
          <w:color w:val="auto"/>
          <w:kern w:val="0"/>
          <w:sz w:val="21"/>
          <w:szCs w:val="21"/>
          <w:lang w:val="en-US" w:eastAsia="zh-CN" w:bidi="ar"/>
        </w:rPr>
        <w:t>均应</w:t>
      </w:r>
      <w:r>
        <w:rPr>
          <w:rFonts w:hint="eastAsia" w:ascii="宋体" w:hAnsi="宋体" w:cs="宋体"/>
          <w:snapToGrid w:val="0"/>
          <w:color w:val="auto"/>
          <w:kern w:val="0"/>
          <w:sz w:val="21"/>
          <w:szCs w:val="21"/>
          <w:lang w:val="en-US" w:eastAsia="zh-CN" w:bidi="ar"/>
        </w:rPr>
        <w:t>不低于</w:t>
      </w:r>
      <w:r>
        <w:rPr>
          <w:rFonts w:hint="eastAsia" w:ascii="宋体" w:hAnsi="宋体" w:eastAsia="宋体" w:cs="宋体"/>
          <w:snapToGrid w:val="0"/>
          <w:color w:val="auto"/>
          <w:kern w:val="0"/>
          <w:sz w:val="21"/>
          <w:szCs w:val="21"/>
          <w:lang w:val="en-US" w:eastAsia="zh-CN" w:bidi="ar"/>
        </w:rPr>
        <w:t>IP</w:t>
      </w:r>
      <w:r>
        <w:rPr>
          <w:rFonts w:hint="eastAsia" w:ascii="宋体" w:hAnsi="宋体" w:cs="宋体"/>
          <w:snapToGrid w:val="0"/>
          <w:color w:val="auto"/>
          <w:kern w:val="0"/>
          <w:sz w:val="21"/>
          <w:szCs w:val="21"/>
          <w:lang w:val="en-US" w:eastAsia="zh-CN" w:bidi="ar"/>
        </w:rPr>
        <w:t>2</w:t>
      </w:r>
      <w:r>
        <w:rPr>
          <w:rFonts w:hint="eastAsia" w:ascii="宋体" w:hAnsi="宋体" w:eastAsia="宋体" w:cs="宋体"/>
          <w:snapToGrid w:val="0"/>
          <w:color w:val="auto"/>
          <w:kern w:val="0"/>
          <w:sz w:val="21"/>
          <w:szCs w:val="21"/>
          <w:lang w:val="en-US" w:eastAsia="zh-CN" w:bidi="ar"/>
        </w:rPr>
        <w:t>X</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防护等级</w:t>
      </w:r>
      <w:r>
        <w:rPr>
          <w:rFonts w:hint="eastAsia" w:ascii="宋体" w:hAnsi="宋体" w:cs="宋体"/>
          <w:snapToGrid w:val="0"/>
          <w:color w:val="auto"/>
          <w:kern w:val="0"/>
          <w:sz w:val="21"/>
          <w:szCs w:val="21"/>
          <w:lang w:val="en-US" w:eastAsia="zh-CN" w:bidi="ar"/>
        </w:rPr>
        <w:t>划分见附录B）</w:t>
      </w:r>
      <w:r>
        <w:rPr>
          <w:rFonts w:hint="eastAsia" w:ascii="宋体" w:hAnsi="宋体" w:eastAsia="宋体" w:cs="宋体"/>
          <w:snapToGrid w:val="0"/>
          <w:color w:val="auto"/>
          <w:kern w:val="0"/>
          <w:sz w:val="21"/>
          <w:szCs w:val="21"/>
          <w:lang w:val="en-US" w:eastAsia="zh-CN" w:bidi="ar"/>
        </w:rPr>
        <w:t>；在车间相互靠近布置时</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二者的外壳</w:t>
      </w:r>
      <w:r>
        <w:rPr>
          <w:rFonts w:hint="eastAsia"/>
          <w:color w:val="auto"/>
          <w:lang w:val="en-US" w:eastAsia="zh-CN"/>
        </w:rPr>
        <w:t>防护等级</w:t>
      </w:r>
      <w:r>
        <w:rPr>
          <w:rFonts w:hint="eastAsia" w:ascii="宋体" w:hAnsi="宋体" w:eastAsia="宋体" w:cs="宋体"/>
          <w:snapToGrid w:val="0"/>
          <w:color w:val="auto"/>
          <w:kern w:val="0"/>
          <w:sz w:val="21"/>
          <w:szCs w:val="21"/>
          <w:lang w:val="en-US" w:eastAsia="zh-CN" w:bidi="ar"/>
        </w:rPr>
        <w:t>均应</w:t>
      </w:r>
      <w:r>
        <w:rPr>
          <w:rFonts w:hint="eastAsia" w:ascii="宋体" w:hAnsi="宋体" w:cs="宋体"/>
          <w:snapToGrid w:val="0"/>
          <w:color w:val="auto"/>
          <w:kern w:val="0"/>
          <w:sz w:val="21"/>
          <w:szCs w:val="21"/>
          <w:lang w:val="en-US" w:eastAsia="zh-CN" w:bidi="ar"/>
        </w:rPr>
        <w:t>不低于</w:t>
      </w:r>
      <w:r>
        <w:rPr>
          <w:rFonts w:hint="eastAsia" w:ascii="宋体" w:hAnsi="宋体" w:eastAsia="宋体" w:cs="宋体"/>
          <w:snapToGrid w:val="0"/>
          <w:color w:val="auto"/>
          <w:kern w:val="0"/>
          <w:sz w:val="21"/>
          <w:szCs w:val="21"/>
          <w:lang w:val="en-US" w:eastAsia="zh-CN" w:bidi="ar"/>
        </w:rPr>
        <w:t>IP3X</w:t>
      </w:r>
      <w:r>
        <w:rPr>
          <w:rFonts w:hint="eastAsia" w:ascii="宋体" w:hAnsi="宋体" w:cs="宋体"/>
          <w:snapToGrid w:val="0"/>
          <w:color w:val="auto"/>
          <w:kern w:val="0"/>
          <w:sz w:val="21"/>
          <w:szCs w:val="21"/>
          <w:lang w:val="en-US" w:eastAsia="zh-CN" w:bidi="ar"/>
        </w:rPr>
        <w:t>。</w:t>
      </w:r>
    </w:p>
    <w:p w14:paraId="45F6770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rPr>
          <w:rFonts w:hint="eastAsia" w:ascii="黑体" w:hAnsi="黑体" w:eastAsia="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6.1.1.2  仪器检测</w:t>
      </w:r>
    </w:p>
    <w:p w14:paraId="0EF62EEC">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color w:val="auto"/>
          <w:sz w:val="21"/>
          <w:lang w:val="en-US" w:eastAsia="zh-CN" w:bidi="ar-SA"/>
        </w:rPr>
        <w:t>6.1.1.2.1</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配电变压器室温不</w:t>
      </w:r>
      <w:r>
        <w:rPr>
          <w:rFonts w:hint="eastAsia" w:ascii="宋体" w:hAnsi="宋体" w:cs="宋体"/>
          <w:snapToGrid w:val="0"/>
          <w:color w:val="auto"/>
          <w:kern w:val="0"/>
          <w:sz w:val="21"/>
          <w:szCs w:val="21"/>
          <w:lang w:val="en-US" w:eastAsia="zh-CN" w:bidi="ar"/>
        </w:rPr>
        <w:t>应</w:t>
      </w:r>
      <w:r>
        <w:rPr>
          <w:rFonts w:hint="eastAsia" w:ascii="宋体" w:hAnsi="宋体" w:eastAsia="宋体" w:cs="宋体"/>
          <w:snapToGrid w:val="0"/>
          <w:color w:val="auto"/>
          <w:kern w:val="0"/>
          <w:sz w:val="21"/>
          <w:szCs w:val="21"/>
          <w:lang w:val="en-US" w:eastAsia="zh-CN" w:bidi="ar"/>
        </w:rPr>
        <w:t>超过40℃。</w:t>
      </w:r>
    </w:p>
    <w:p w14:paraId="6F7E0A03">
      <w:pPr>
        <w:keepNext w:val="0"/>
        <w:keepLines w:val="0"/>
        <w:pageBreakBefore w:val="0"/>
        <w:widowControl/>
        <w:suppressLineNumbers w:val="0"/>
        <w:kinsoku w:val="0"/>
        <w:wordWrap/>
        <w:overflowPunct/>
        <w:topLinePunct w:val="0"/>
        <w:autoSpaceDE/>
        <w:autoSpaceDN/>
        <w:bidi w:val="0"/>
        <w:adjustRightInd w:val="0"/>
        <w:snapToGrid w:val="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color w:val="auto"/>
          <w:sz w:val="21"/>
          <w:lang w:val="en-US" w:eastAsia="zh-CN" w:bidi="ar-SA"/>
        </w:rPr>
        <w:t>6.1.1.2.2</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干式变压器绕组浇注体的最高温度不应超过表1中规定的绕组热点温度的最高允许值。</w:t>
      </w:r>
    </w:p>
    <w:p w14:paraId="5C5A7195">
      <w:pPr>
        <w:pStyle w:val="301"/>
        <w:bidi w:val="0"/>
        <w:rPr>
          <w:rFonts w:hint="eastAsia"/>
          <w:color w:val="auto"/>
          <w:lang w:val="en-US" w:eastAsia="zh-CN"/>
        </w:rPr>
      </w:pPr>
      <w:bookmarkStart w:id="197" w:name="_Toc2699"/>
      <w:bookmarkStart w:id="198" w:name="_Toc10134"/>
      <w:bookmarkStart w:id="199" w:name="_Toc22379"/>
      <w:bookmarkStart w:id="200" w:name="_Toc4489"/>
      <w:bookmarkStart w:id="201" w:name="_Toc13113"/>
      <w:bookmarkStart w:id="202" w:name="_Toc7361"/>
      <w:bookmarkStart w:id="203" w:name="_Toc2153"/>
      <w:bookmarkStart w:id="204" w:name="_Toc17165"/>
      <w:bookmarkStart w:id="205" w:name="_Toc11007"/>
      <w:bookmarkStart w:id="206" w:name="_Toc21090"/>
      <w:r>
        <w:rPr>
          <w:rFonts w:hint="eastAsia"/>
          <w:color w:val="auto"/>
          <w:lang w:val="en-US" w:eastAsia="zh-CN"/>
        </w:rPr>
        <w:t>干式电力变压器温度限值</w:t>
      </w:r>
      <w:bookmarkEnd w:id="197"/>
      <w:bookmarkEnd w:id="198"/>
      <w:bookmarkEnd w:id="199"/>
      <w:bookmarkEnd w:id="200"/>
      <w:bookmarkEnd w:id="201"/>
      <w:bookmarkEnd w:id="202"/>
      <w:bookmarkEnd w:id="203"/>
      <w:bookmarkEnd w:id="204"/>
      <w:bookmarkEnd w:id="205"/>
      <w:bookmarkEnd w:id="206"/>
    </w:p>
    <w:tbl>
      <w:tblPr>
        <w:tblStyle w:val="88"/>
        <w:tblW w:w="93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77"/>
        <w:gridCol w:w="4595"/>
      </w:tblGrid>
      <w:tr w14:paraId="7F4AD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77" w:type="dxa"/>
            <w:tcBorders>
              <w:top w:val="single" w:color="auto" w:sz="4" w:space="0"/>
              <w:left w:val="single" w:color="auto" w:sz="4" w:space="0"/>
              <w:bottom w:val="single" w:color="auto" w:sz="4" w:space="0"/>
              <w:right w:val="single" w:color="auto" w:sz="4" w:space="0"/>
            </w:tcBorders>
            <w:shd w:val="clear" w:color="auto" w:fill="auto"/>
            <w:vAlign w:val="center"/>
          </w:tcPr>
          <w:p w14:paraId="6305641F">
            <w:pPr>
              <w:keepNext w:val="0"/>
              <w:keepLines w:val="0"/>
              <w:pageBreakBefore w:val="0"/>
              <w:widowControl/>
              <w:suppressLineNumbers w:val="0"/>
              <w:wordWrap/>
              <w:overflowPunct/>
              <w:topLinePunct w:val="0"/>
              <w:bidi w:val="0"/>
              <w:adjustRightInd w:val="0"/>
              <w:snapToGrid w:val="0"/>
              <w:jc w:val="center"/>
              <w:textAlignment w:val="top"/>
              <w:rPr>
                <w:rFonts w:hint="eastAsia" w:ascii="宋体" w:hAnsi="宋体" w:eastAsia="宋体" w:cs="宋体"/>
                <w:i w:val="0"/>
                <w:iCs w:val="0"/>
                <w:color w:val="auto"/>
                <w:sz w:val="18"/>
                <w:szCs w:val="18"/>
                <w:u w:val="none"/>
              </w:rPr>
            </w:pPr>
            <w:r>
              <w:rPr>
                <w:rStyle w:val="529"/>
                <w:rFonts w:hint="eastAsia" w:ascii="宋体" w:hAnsi="宋体" w:eastAsia="宋体" w:cs="宋体"/>
                <w:snapToGrid w:val="0"/>
                <w:color w:val="auto"/>
                <w:sz w:val="18"/>
                <w:szCs w:val="18"/>
                <w:lang w:val="en-US" w:eastAsia="zh-CN" w:bidi="ar"/>
              </w:rPr>
              <w:t>绝缘系统</w:t>
            </w:r>
            <w:r>
              <w:rPr>
                <w:rStyle w:val="529"/>
                <w:rFonts w:hint="eastAsia" w:ascii="宋体" w:hAnsi="宋体" w:cs="宋体"/>
                <w:snapToGrid w:val="0"/>
                <w:color w:val="auto"/>
                <w:sz w:val="18"/>
                <w:szCs w:val="18"/>
                <w:lang w:val="en-US" w:eastAsia="zh-CN" w:bidi="ar"/>
              </w:rPr>
              <w:t>耐热等级</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14:paraId="6834F823">
            <w:pPr>
              <w:keepNext w:val="0"/>
              <w:keepLines w:val="0"/>
              <w:pageBreakBefore w:val="0"/>
              <w:widowControl/>
              <w:suppressLineNumbers w:val="0"/>
              <w:wordWrap/>
              <w:overflowPunct/>
              <w:topLinePunct w:val="0"/>
              <w:bidi w:val="0"/>
              <w:adjustRightInd w:val="0"/>
              <w:snapToGrid w:val="0"/>
              <w:jc w:val="center"/>
              <w:textAlignment w:val="center"/>
              <w:rPr>
                <w:rStyle w:val="529"/>
                <w:rFonts w:hint="eastAsia" w:ascii="宋体" w:hAnsi="宋体" w:eastAsia="宋体" w:cs="宋体"/>
                <w:snapToGrid w:val="0"/>
                <w:color w:val="auto"/>
                <w:sz w:val="18"/>
                <w:szCs w:val="18"/>
                <w:lang w:val="en-US" w:eastAsia="zh-CN" w:bidi="ar"/>
              </w:rPr>
            </w:pPr>
            <w:r>
              <w:rPr>
                <w:rStyle w:val="529"/>
                <w:rFonts w:hint="eastAsia" w:ascii="宋体" w:hAnsi="宋体" w:eastAsia="宋体" w:cs="宋体"/>
                <w:snapToGrid w:val="0"/>
                <w:color w:val="auto"/>
                <w:sz w:val="18"/>
                <w:szCs w:val="18"/>
                <w:lang w:val="en-US" w:eastAsia="zh-CN" w:bidi="ar"/>
              </w:rPr>
              <w:t>绕组热点温度最高允许值</w:t>
            </w:r>
          </w:p>
          <w:p w14:paraId="0FA5C85D">
            <w:pPr>
              <w:keepNext w:val="0"/>
              <w:keepLines w:val="0"/>
              <w:pageBreakBefore w:val="0"/>
              <w:widowControl/>
              <w:suppressLineNumbers w:val="0"/>
              <w:wordWrap/>
              <w:overflowPunct/>
              <w:topLinePunct w:val="0"/>
              <w:bidi w:val="0"/>
              <w:adjustRightInd w:val="0"/>
              <w:snapToGrid w:val="0"/>
              <w:jc w:val="center"/>
              <w:textAlignment w:val="center"/>
              <w:rPr>
                <w:rStyle w:val="529"/>
                <w:rFonts w:hint="eastAsia" w:ascii="宋体" w:hAnsi="宋体" w:eastAsia="宋体" w:cs="宋体"/>
                <w:snapToGrid w:val="0"/>
                <w:color w:val="auto"/>
                <w:sz w:val="18"/>
                <w:szCs w:val="18"/>
                <w:lang w:val="en-US" w:eastAsia="zh-CN" w:bidi="ar"/>
              </w:rPr>
            </w:pPr>
            <w:r>
              <w:rPr>
                <w:rStyle w:val="529"/>
                <w:rFonts w:hint="eastAsia" w:ascii="宋体" w:hAnsi="宋体" w:eastAsia="宋体" w:cs="宋体"/>
                <w:snapToGrid w:val="0"/>
                <w:color w:val="auto"/>
                <w:sz w:val="18"/>
                <w:szCs w:val="18"/>
                <w:lang w:val="en-US" w:eastAsia="zh-CN" w:bidi="ar"/>
              </w:rPr>
              <w:t>℃</w:t>
            </w:r>
          </w:p>
        </w:tc>
      </w:tr>
      <w:tr w14:paraId="3B1BA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219D">
            <w:pPr>
              <w:keepNext w:val="0"/>
              <w:keepLines w:val="0"/>
              <w:pageBreakBefore w:val="0"/>
              <w:widowControl/>
              <w:suppressLineNumbers w:val="0"/>
              <w:wordWrap/>
              <w:overflowPunct/>
              <w:topLinePunct w:val="0"/>
              <w:bidi w:val="0"/>
              <w:adjustRightInd w:val="0"/>
              <w:snapToGrid w:val="0"/>
              <w:jc w:val="center"/>
              <w:textAlignment w:val="center"/>
              <w:rPr>
                <w:rFonts w:hint="default" w:ascii="宋体" w:hAnsi="宋体" w:eastAsia="宋体" w:cs="宋体"/>
                <w:i w:val="0"/>
                <w:iCs w:val="0"/>
                <w:color w:val="auto"/>
                <w:sz w:val="18"/>
                <w:szCs w:val="18"/>
                <w:u w:val="none"/>
                <w:lang w:val="en-US"/>
              </w:rPr>
            </w:pPr>
            <w:r>
              <w:rPr>
                <w:rStyle w:val="529"/>
                <w:rFonts w:hint="eastAsia" w:ascii="宋体" w:hAnsi="宋体" w:eastAsia="宋体" w:cs="宋体"/>
                <w:snapToGrid w:val="0"/>
                <w:color w:val="auto"/>
                <w:sz w:val="18"/>
                <w:szCs w:val="18"/>
                <w:lang w:val="en-US" w:eastAsia="zh-CN" w:bidi="ar"/>
              </w:rPr>
              <w:t>105</w:t>
            </w:r>
            <w:r>
              <w:rPr>
                <w:rStyle w:val="529"/>
                <w:rFonts w:hint="eastAsia" w:ascii="宋体" w:hAnsi="宋体" w:cs="宋体"/>
                <w:snapToGrid w:val="0"/>
                <w:color w:val="auto"/>
                <w:sz w:val="18"/>
                <w:szCs w:val="18"/>
                <w:lang w:val="en-US" w:eastAsia="zh-CN" w:bidi="ar"/>
              </w:rPr>
              <w:t>级（A）</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36DA">
            <w:pPr>
              <w:keepNext w:val="0"/>
              <w:keepLines w:val="0"/>
              <w:pageBreakBefore w:val="0"/>
              <w:widowControl/>
              <w:suppressLineNumbers w:val="0"/>
              <w:wordWrap/>
              <w:overflowPunct/>
              <w:topLinePunct w:val="0"/>
              <w:bidi w:val="0"/>
              <w:adjustRightInd w:val="0"/>
              <w:snapToGrid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130</w:t>
            </w:r>
          </w:p>
        </w:tc>
      </w:tr>
      <w:tr w14:paraId="66A3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CB57">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i w:val="0"/>
                <w:iCs w:val="0"/>
                <w:color w:val="auto"/>
                <w:sz w:val="18"/>
                <w:szCs w:val="18"/>
                <w:u w:val="none"/>
              </w:rPr>
            </w:pPr>
            <w:r>
              <w:rPr>
                <w:rStyle w:val="529"/>
                <w:rFonts w:hint="eastAsia" w:ascii="宋体" w:hAnsi="宋体" w:eastAsia="宋体" w:cs="宋体"/>
                <w:snapToGrid w:val="0"/>
                <w:color w:val="auto"/>
                <w:sz w:val="18"/>
                <w:szCs w:val="18"/>
                <w:lang w:val="en-US" w:eastAsia="zh-CN" w:bidi="ar"/>
              </w:rPr>
              <w:t>120</w:t>
            </w:r>
            <w:r>
              <w:rPr>
                <w:rStyle w:val="529"/>
                <w:rFonts w:hint="eastAsia" w:ascii="宋体" w:hAnsi="宋体" w:cs="宋体"/>
                <w:snapToGrid w:val="0"/>
                <w:color w:val="auto"/>
                <w:sz w:val="18"/>
                <w:szCs w:val="18"/>
                <w:lang w:val="en-US" w:eastAsia="zh-CN" w:bidi="ar"/>
              </w:rPr>
              <w:t>级（E）</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8B24">
            <w:pPr>
              <w:keepNext w:val="0"/>
              <w:keepLines w:val="0"/>
              <w:pageBreakBefore w:val="0"/>
              <w:widowControl/>
              <w:suppressLineNumbers w:val="0"/>
              <w:wordWrap/>
              <w:overflowPunct/>
              <w:topLinePunct w:val="0"/>
              <w:bidi w:val="0"/>
              <w:adjustRightInd w:val="0"/>
              <w:snapToGrid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145</w:t>
            </w:r>
          </w:p>
        </w:tc>
      </w:tr>
      <w:tr w14:paraId="2AC4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449F">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i w:val="0"/>
                <w:iCs w:val="0"/>
                <w:color w:val="auto"/>
                <w:sz w:val="18"/>
                <w:szCs w:val="18"/>
                <w:u w:val="none"/>
              </w:rPr>
            </w:pPr>
            <w:r>
              <w:rPr>
                <w:rStyle w:val="529"/>
                <w:rFonts w:hint="eastAsia" w:ascii="宋体" w:hAnsi="宋体" w:eastAsia="宋体" w:cs="宋体"/>
                <w:snapToGrid w:val="0"/>
                <w:color w:val="auto"/>
                <w:sz w:val="18"/>
                <w:szCs w:val="18"/>
                <w:lang w:val="en-US" w:eastAsia="zh-CN" w:bidi="ar"/>
              </w:rPr>
              <w:t>130</w:t>
            </w:r>
            <w:r>
              <w:rPr>
                <w:rStyle w:val="529"/>
                <w:rFonts w:hint="eastAsia" w:ascii="宋体" w:hAnsi="宋体" w:cs="宋体"/>
                <w:snapToGrid w:val="0"/>
                <w:color w:val="auto"/>
                <w:sz w:val="18"/>
                <w:szCs w:val="18"/>
                <w:lang w:val="en-US" w:eastAsia="zh-CN" w:bidi="ar"/>
              </w:rPr>
              <w:t>级（B）</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060C">
            <w:pPr>
              <w:keepNext w:val="0"/>
              <w:keepLines w:val="0"/>
              <w:pageBreakBefore w:val="0"/>
              <w:widowControl/>
              <w:suppressLineNumbers w:val="0"/>
              <w:wordWrap/>
              <w:overflowPunct/>
              <w:topLinePunct w:val="0"/>
              <w:bidi w:val="0"/>
              <w:adjustRightInd w:val="0"/>
              <w:snapToGrid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155</w:t>
            </w:r>
          </w:p>
        </w:tc>
      </w:tr>
      <w:tr w14:paraId="4C09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EA36">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i w:val="0"/>
                <w:iCs w:val="0"/>
                <w:color w:val="auto"/>
                <w:sz w:val="18"/>
                <w:szCs w:val="18"/>
                <w:u w:val="none"/>
              </w:rPr>
            </w:pPr>
            <w:r>
              <w:rPr>
                <w:rStyle w:val="529"/>
                <w:rFonts w:hint="eastAsia" w:ascii="宋体" w:hAnsi="宋体" w:eastAsia="宋体" w:cs="宋体"/>
                <w:snapToGrid w:val="0"/>
                <w:color w:val="auto"/>
                <w:sz w:val="18"/>
                <w:szCs w:val="18"/>
                <w:lang w:val="en-US" w:eastAsia="zh-CN" w:bidi="ar"/>
              </w:rPr>
              <w:t>155</w:t>
            </w:r>
            <w:r>
              <w:rPr>
                <w:rStyle w:val="529"/>
                <w:rFonts w:hint="eastAsia" w:ascii="宋体" w:hAnsi="宋体" w:cs="宋体"/>
                <w:snapToGrid w:val="0"/>
                <w:color w:val="auto"/>
                <w:sz w:val="18"/>
                <w:szCs w:val="18"/>
                <w:lang w:val="en-US" w:eastAsia="zh-CN" w:bidi="ar"/>
              </w:rPr>
              <w:t>级（F）</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E033">
            <w:pPr>
              <w:keepNext w:val="0"/>
              <w:keepLines w:val="0"/>
              <w:pageBreakBefore w:val="0"/>
              <w:widowControl/>
              <w:suppressLineNumbers w:val="0"/>
              <w:wordWrap/>
              <w:overflowPunct/>
              <w:topLinePunct w:val="0"/>
              <w:bidi w:val="0"/>
              <w:adjustRightInd w:val="0"/>
              <w:snapToGrid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180</w:t>
            </w:r>
          </w:p>
        </w:tc>
      </w:tr>
      <w:tr w14:paraId="6C1A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7885">
            <w:pPr>
              <w:keepNext w:val="0"/>
              <w:keepLines w:val="0"/>
              <w:pageBreakBefore w:val="0"/>
              <w:widowControl/>
              <w:suppressLineNumbers w:val="0"/>
              <w:wordWrap/>
              <w:overflowPunct/>
              <w:topLinePunct w:val="0"/>
              <w:bidi w:val="0"/>
              <w:adjustRightInd w:val="0"/>
              <w:snapToGrid w:val="0"/>
              <w:jc w:val="center"/>
              <w:textAlignment w:val="center"/>
              <w:rPr>
                <w:rFonts w:hint="eastAsia" w:ascii="宋体" w:hAnsi="宋体" w:eastAsia="宋体" w:cs="宋体"/>
                <w:i w:val="0"/>
                <w:iCs w:val="0"/>
                <w:color w:val="auto"/>
                <w:sz w:val="18"/>
                <w:szCs w:val="18"/>
                <w:u w:val="none"/>
              </w:rPr>
            </w:pPr>
            <w:r>
              <w:rPr>
                <w:rStyle w:val="529"/>
                <w:rFonts w:hint="eastAsia" w:ascii="宋体" w:hAnsi="宋体" w:eastAsia="宋体" w:cs="宋体"/>
                <w:snapToGrid w:val="0"/>
                <w:color w:val="auto"/>
                <w:sz w:val="18"/>
                <w:szCs w:val="18"/>
                <w:lang w:val="en-US" w:eastAsia="zh-CN" w:bidi="ar"/>
              </w:rPr>
              <w:t>180</w:t>
            </w:r>
            <w:r>
              <w:rPr>
                <w:rStyle w:val="529"/>
                <w:rFonts w:hint="eastAsia" w:ascii="宋体" w:hAnsi="宋体" w:cs="宋体"/>
                <w:snapToGrid w:val="0"/>
                <w:color w:val="auto"/>
                <w:sz w:val="18"/>
                <w:szCs w:val="18"/>
                <w:lang w:val="en-US" w:eastAsia="zh-CN" w:bidi="ar"/>
              </w:rPr>
              <w:t>级（H）</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7AB4">
            <w:pPr>
              <w:keepNext w:val="0"/>
              <w:keepLines w:val="0"/>
              <w:pageBreakBefore w:val="0"/>
              <w:widowControl/>
              <w:suppressLineNumbers w:val="0"/>
              <w:wordWrap/>
              <w:overflowPunct/>
              <w:topLinePunct w:val="0"/>
              <w:bidi w:val="0"/>
              <w:adjustRightInd w:val="0"/>
              <w:snapToGrid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205</w:t>
            </w:r>
          </w:p>
        </w:tc>
      </w:tr>
      <w:tr w14:paraId="04E7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FAA9">
            <w:pPr>
              <w:keepNext w:val="0"/>
              <w:keepLines w:val="0"/>
              <w:pageBreakBefore w:val="0"/>
              <w:widowControl/>
              <w:suppressLineNumbers w:val="0"/>
              <w:wordWrap/>
              <w:overflowPunct/>
              <w:topLinePunct w:val="0"/>
              <w:bidi w:val="0"/>
              <w:adjustRightInd w:val="0"/>
              <w:snapToGrid w:val="0"/>
              <w:jc w:val="center"/>
              <w:textAlignment w:val="center"/>
              <w:rPr>
                <w:rStyle w:val="529"/>
                <w:rFonts w:hint="default" w:ascii="宋体" w:hAnsi="宋体" w:eastAsia="宋体" w:cs="宋体"/>
                <w:snapToGrid w:val="0"/>
                <w:color w:val="auto"/>
                <w:sz w:val="18"/>
                <w:szCs w:val="18"/>
                <w:lang w:val="en-US" w:eastAsia="zh-CN" w:bidi="ar"/>
              </w:rPr>
            </w:pPr>
            <w:r>
              <w:rPr>
                <w:rStyle w:val="529"/>
                <w:rFonts w:hint="eastAsia" w:ascii="宋体" w:hAnsi="宋体" w:cs="宋体"/>
                <w:snapToGrid w:val="0"/>
                <w:color w:val="auto"/>
                <w:sz w:val="18"/>
                <w:szCs w:val="18"/>
                <w:lang w:val="en-US" w:eastAsia="zh-CN" w:bidi="ar"/>
              </w:rPr>
              <w:t>200级（N）</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77B0">
            <w:pPr>
              <w:keepNext w:val="0"/>
              <w:keepLines w:val="0"/>
              <w:pageBreakBefore w:val="0"/>
              <w:widowControl/>
              <w:suppressLineNumbers w:val="0"/>
              <w:wordWrap/>
              <w:overflowPunct/>
              <w:topLinePunct w:val="0"/>
              <w:bidi w:val="0"/>
              <w:adjustRightInd w:val="0"/>
              <w:snapToGrid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cs="宋体"/>
                <w:i w:val="0"/>
                <w:iCs w:val="0"/>
                <w:snapToGrid w:val="0"/>
                <w:color w:val="auto"/>
                <w:kern w:val="0"/>
                <w:sz w:val="18"/>
                <w:szCs w:val="18"/>
                <w:u w:val="none"/>
                <w:lang w:val="en-US" w:eastAsia="zh-CN" w:bidi="ar"/>
              </w:rPr>
              <w:t>225</w:t>
            </w:r>
          </w:p>
        </w:tc>
      </w:tr>
      <w:tr w14:paraId="1439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C392">
            <w:pPr>
              <w:keepNext w:val="0"/>
              <w:keepLines w:val="0"/>
              <w:pageBreakBefore w:val="0"/>
              <w:widowControl/>
              <w:suppressLineNumbers w:val="0"/>
              <w:wordWrap/>
              <w:overflowPunct/>
              <w:topLinePunct w:val="0"/>
              <w:bidi w:val="0"/>
              <w:adjustRightInd w:val="0"/>
              <w:snapToGrid w:val="0"/>
              <w:jc w:val="center"/>
              <w:textAlignment w:val="center"/>
              <w:rPr>
                <w:rFonts w:hint="default" w:ascii="宋体" w:hAnsi="宋体" w:eastAsia="宋体" w:cs="宋体"/>
                <w:i w:val="0"/>
                <w:iCs w:val="0"/>
                <w:color w:val="auto"/>
                <w:sz w:val="18"/>
                <w:szCs w:val="18"/>
                <w:u w:val="none"/>
                <w:lang w:val="en-US"/>
              </w:rPr>
            </w:pPr>
            <w:r>
              <w:rPr>
                <w:rStyle w:val="529"/>
                <w:rFonts w:hint="eastAsia" w:ascii="宋体" w:hAnsi="宋体" w:eastAsia="宋体" w:cs="宋体"/>
                <w:snapToGrid w:val="0"/>
                <w:color w:val="auto"/>
                <w:sz w:val="18"/>
                <w:szCs w:val="18"/>
                <w:lang w:val="en-US" w:eastAsia="zh-CN" w:bidi="ar"/>
              </w:rPr>
              <w:t>220</w:t>
            </w:r>
            <w:r>
              <w:rPr>
                <w:rStyle w:val="529"/>
                <w:rFonts w:hint="eastAsia" w:ascii="宋体" w:hAnsi="宋体" w:cs="宋体"/>
                <w:snapToGrid w:val="0"/>
                <w:color w:val="auto"/>
                <w:sz w:val="18"/>
                <w:szCs w:val="18"/>
                <w:lang w:val="en-US" w:eastAsia="zh-CN" w:bidi="ar"/>
              </w:rPr>
              <w:t>级（R）</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C340">
            <w:pPr>
              <w:keepNext w:val="0"/>
              <w:keepLines w:val="0"/>
              <w:pageBreakBefore w:val="0"/>
              <w:widowControl/>
              <w:suppressLineNumbers w:val="0"/>
              <w:wordWrap/>
              <w:overflowPunct/>
              <w:topLinePunct w:val="0"/>
              <w:bidi w:val="0"/>
              <w:adjustRightInd w:val="0"/>
              <w:snapToGrid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245</w:t>
            </w:r>
          </w:p>
        </w:tc>
      </w:tr>
    </w:tbl>
    <w:p w14:paraId="336DCA3F">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color w:val="auto"/>
          <w:sz w:val="21"/>
          <w:lang w:val="en-US" w:eastAsia="zh-CN" w:bidi="ar-SA"/>
        </w:rPr>
        <w:t>6.1.1.2.3</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变压器各连接点(含端子)、引线接头、电缆终端头的温度，高压部分不应超过表2中规定的数值；低压部分不应超过表3中规定的数值。 </w:t>
      </w:r>
    </w:p>
    <w:p w14:paraId="168D7830">
      <w:pPr>
        <w:pStyle w:val="301"/>
        <w:bidi w:val="0"/>
        <w:rPr>
          <w:rFonts w:hint="eastAsia"/>
          <w:color w:val="auto"/>
          <w:lang w:val="en-US" w:eastAsia="zh-CN"/>
        </w:rPr>
      </w:pPr>
      <w:bookmarkStart w:id="207" w:name="_Toc32705"/>
      <w:bookmarkStart w:id="208" w:name="_Toc1606"/>
      <w:bookmarkStart w:id="209" w:name="_Toc12726"/>
      <w:bookmarkStart w:id="210" w:name="_Toc16692"/>
      <w:bookmarkStart w:id="211" w:name="_Toc17426"/>
      <w:bookmarkStart w:id="212" w:name="_Toc22226"/>
      <w:bookmarkStart w:id="213" w:name="_Toc25551"/>
      <w:bookmarkStart w:id="214" w:name="_Toc25709"/>
      <w:bookmarkStart w:id="215" w:name="_Toc10773"/>
      <w:bookmarkStart w:id="216" w:name="_Toc3208"/>
      <w:r>
        <w:rPr>
          <w:rFonts w:hint="eastAsia"/>
          <w:color w:val="auto"/>
          <w:lang w:val="en-US" w:eastAsia="zh-CN"/>
        </w:rPr>
        <w:t>交流高压电器触头及导体连接端子在空气中最高允许温度</w:t>
      </w:r>
      <w:bookmarkEnd w:id="207"/>
      <w:bookmarkEnd w:id="208"/>
      <w:bookmarkEnd w:id="209"/>
      <w:bookmarkEnd w:id="210"/>
      <w:bookmarkEnd w:id="211"/>
      <w:bookmarkEnd w:id="212"/>
      <w:bookmarkEnd w:id="213"/>
      <w:bookmarkEnd w:id="214"/>
      <w:bookmarkEnd w:id="215"/>
      <w:bookmarkEnd w:id="216"/>
    </w:p>
    <w:tbl>
      <w:tblPr>
        <w:tblStyle w:val="88"/>
        <w:tblW w:w="95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1"/>
        <w:gridCol w:w="3176"/>
        <w:gridCol w:w="3172"/>
      </w:tblGrid>
      <w:tr w14:paraId="7C449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5AC59">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部       位</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5894">
            <w:pPr>
              <w:keepNext w:val="0"/>
              <w:keepLines w:val="0"/>
              <w:pageBreakBefore w:val="0"/>
              <w:widowControl/>
              <w:suppressLineNumbers w:val="0"/>
              <w:overflowPunct/>
              <w:topLinePunct w:val="0"/>
              <w:bidi w:val="0"/>
              <w:jc w:val="center"/>
              <w:textAlignment w:val="top"/>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最高允许温度</w:t>
            </w:r>
          </w:p>
          <w:p w14:paraId="394F85BF">
            <w:pPr>
              <w:keepNext w:val="0"/>
              <w:keepLines w:val="0"/>
              <w:pageBreakBefore w:val="0"/>
              <w:widowControl/>
              <w:suppressLineNumbers w:val="0"/>
              <w:overflowPunct/>
              <w:topLinePunct w:val="0"/>
              <w:bidi w:val="0"/>
              <w:jc w:val="center"/>
              <w:textAlignment w:val="top"/>
              <w:rPr>
                <w:rFonts w:hint="eastAsia" w:ascii="宋体" w:hAnsi="宋体" w:eastAsia="宋体" w:cs="宋体"/>
                <w:i w:val="0"/>
                <w:iCs w:val="0"/>
                <w:color w:val="auto"/>
                <w:sz w:val="18"/>
                <w:szCs w:val="18"/>
                <w:u w:val="none"/>
                <w:lang w:val="en-US"/>
              </w:rPr>
            </w:pPr>
            <w:r>
              <w:rPr>
                <w:rStyle w:val="529"/>
                <w:rFonts w:hint="eastAsia" w:ascii="宋体" w:hAnsi="宋体" w:eastAsia="宋体" w:cs="宋体"/>
                <w:snapToGrid w:val="0"/>
                <w:color w:val="auto"/>
                <w:sz w:val="18"/>
                <w:szCs w:val="18"/>
                <w:lang w:val="en-US" w:eastAsia="zh-CN" w:bidi="ar"/>
              </w:rPr>
              <w:t>℃</w:t>
            </w:r>
          </w:p>
        </w:tc>
      </w:tr>
      <w:tr w14:paraId="54A38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F8818">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触头</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14DD">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裸铜、裸铜合金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01EA">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75</w:t>
            </w:r>
          </w:p>
        </w:tc>
      </w:tr>
      <w:tr w14:paraId="357A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592E1">
            <w:pPr>
              <w:keepNext w:val="0"/>
              <w:keepLines w:val="0"/>
              <w:pageBreakBefore w:val="0"/>
              <w:overflowPunct/>
              <w:topLinePunct w:val="0"/>
              <w:bidi w:val="0"/>
              <w:jc w:val="center"/>
              <w:rPr>
                <w:rFonts w:hint="eastAsia" w:ascii="宋体" w:hAnsi="宋体" w:eastAsia="宋体" w:cs="宋体"/>
                <w:i w:val="0"/>
                <w:iCs w:val="0"/>
                <w:color w:val="auto"/>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268A">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镀锡</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19BE">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90</w:t>
            </w:r>
          </w:p>
        </w:tc>
      </w:tr>
      <w:tr w14:paraId="527B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6F9F3">
            <w:pPr>
              <w:keepNext w:val="0"/>
              <w:keepLines w:val="0"/>
              <w:pageBreakBefore w:val="0"/>
              <w:overflowPunct/>
              <w:topLinePunct w:val="0"/>
              <w:bidi w:val="0"/>
              <w:jc w:val="center"/>
              <w:rPr>
                <w:rFonts w:hint="eastAsia" w:ascii="宋体" w:hAnsi="宋体" w:eastAsia="宋体" w:cs="宋体"/>
                <w:i w:val="0"/>
                <w:iCs w:val="0"/>
                <w:color w:val="auto"/>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17F8">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镀银或镀镍</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71D9">
            <w:pPr>
              <w:keepNext w:val="0"/>
              <w:keepLines w:val="0"/>
              <w:pageBreakBefore w:val="0"/>
              <w:widowControl/>
              <w:suppressLineNumbers w:val="0"/>
              <w:overflowPunct/>
              <w:topLinePunct w:val="0"/>
              <w:bidi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115</w:t>
            </w:r>
          </w:p>
        </w:tc>
      </w:tr>
      <w:tr w14:paraId="3778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21" w:type="dxa"/>
            <w:vMerge w:val="restart"/>
            <w:tcBorders>
              <w:top w:val="single" w:color="000000" w:sz="4" w:space="0"/>
              <w:left w:val="single" w:color="000000" w:sz="4" w:space="0"/>
              <w:right w:val="single" w:color="000000" w:sz="4" w:space="0"/>
            </w:tcBorders>
            <w:shd w:val="clear" w:color="auto" w:fill="auto"/>
            <w:vAlign w:val="center"/>
          </w:tcPr>
          <w:p w14:paraId="6D1F9471">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导体连接的接合部分</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DA8C">
            <w:pPr>
              <w:keepNext w:val="0"/>
              <w:keepLines w:val="0"/>
              <w:pageBreakBefore w:val="0"/>
              <w:widowControl/>
              <w:suppressLineNumbers w:val="0"/>
              <w:overflowPunct/>
              <w:topLinePunct w:val="0"/>
              <w:bidi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裸铜、裸铜合金、裸铝合金</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31C4">
            <w:pPr>
              <w:keepNext w:val="0"/>
              <w:keepLines w:val="0"/>
              <w:pageBreakBefore w:val="0"/>
              <w:widowControl/>
              <w:suppressLineNumbers w:val="0"/>
              <w:overflowPunct/>
              <w:topLinePunct w:val="0"/>
              <w:bidi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100</w:t>
            </w:r>
          </w:p>
        </w:tc>
      </w:tr>
      <w:tr w14:paraId="10E4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21" w:type="dxa"/>
            <w:vMerge w:val="continue"/>
            <w:tcBorders>
              <w:left w:val="single" w:color="000000" w:sz="4" w:space="0"/>
              <w:right w:val="single" w:color="000000" w:sz="4" w:space="0"/>
            </w:tcBorders>
            <w:shd w:val="clear" w:color="auto" w:fill="auto"/>
            <w:vAlign w:val="center"/>
          </w:tcPr>
          <w:p w14:paraId="113EA36C">
            <w:pPr>
              <w:keepNext w:val="0"/>
              <w:keepLines w:val="0"/>
              <w:pageBreakBefore w:val="0"/>
              <w:overflowPunct/>
              <w:topLinePunct w:val="0"/>
              <w:bidi w:val="0"/>
              <w:jc w:val="center"/>
              <w:rPr>
                <w:rFonts w:hint="eastAsia" w:ascii="宋体" w:hAnsi="宋体" w:eastAsia="宋体" w:cs="宋体"/>
                <w:i w:val="0"/>
                <w:iCs w:val="0"/>
                <w:color w:val="auto"/>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E174">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镀银或镀镍</w:t>
            </w:r>
          </w:p>
        </w:tc>
        <w:tc>
          <w:tcPr>
            <w:tcW w:w="3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4FA1">
            <w:pPr>
              <w:keepNext w:val="0"/>
              <w:keepLines w:val="0"/>
              <w:pageBreakBefore w:val="0"/>
              <w:widowControl/>
              <w:suppressLineNumbers w:val="0"/>
              <w:overflowPunct/>
              <w:topLinePunct w:val="0"/>
              <w:bidi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115</w:t>
            </w:r>
          </w:p>
        </w:tc>
      </w:tr>
      <w:tr w14:paraId="0EBA2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21" w:type="dxa"/>
            <w:vMerge w:val="continue"/>
            <w:tcBorders>
              <w:left w:val="single" w:color="000000" w:sz="4" w:space="0"/>
              <w:bottom w:val="single" w:color="auto" w:sz="4" w:space="0"/>
              <w:right w:val="single" w:color="000000" w:sz="4" w:space="0"/>
            </w:tcBorders>
            <w:shd w:val="clear" w:color="auto" w:fill="auto"/>
            <w:vAlign w:val="center"/>
          </w:tcPr>
          <w:p w14:paraId="2CE09C23">
            <w:pPr>
              <w:keepNext w:val="0"/>
              <w:keepLines w:val="0"/>
              <w:pageBreakBefore w:val="0"/>
              <w:overflowPunct/>
              <w:topLinePunct w:val="0"/>
              <w:bidi w:val="0"/>
              <w:jc w:val="center"/>
              <w:rPr>
                <w:rFonts w:hint="eastAsia" w:ascii="宋体" w:hAnsi="宋体" w:eastAsia="宋体" w:cs="宋体"/>
                <w:i w:val="0"/>
                <w:iCs w:val="0"/>
                <w:color w:val="auto"/>
                <w:sz w:val="18"/>
                <w:szCs w:val="18"/>
                <w:u w:val="none"/>
              </w:rPr>
            </w:pPr>
          </w:p>
        </w:tc>
        <w:tc>
          <w:tcPr>
            <w:tcW w:w="3176" w:type="dxa"/>
            <w:tcBorders>
              <w:top w:val="single" w:color="000000" w:sz="4" w:space="0"/>
              <w:left w:val="single" w:color="000000" w:sz="4" w:space="0"/>
              <w:bottom w:val="single" w:color="auto" w:sz="4" w:space="0"/>
              <w:right w:val="single" w:color="000000" w:sz="4" w:space="0"/>
            </w:tcBorders>
            <w:shd w:val="clear" w:color="auto" w:fill="auto"/>
            <w:vAlign w:val="center"/>
          </w:tcPr>
          <w:p w14:paraId="16A4015E">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镀锡</w:t>
            </w:r>
          </w:p>
        </w:tc>
        <w:tc>
          <w:tcPr>
            <w:tcW w:w="3172" w:type="dxa"/>
            <w:tcBorders>
              <w:top w:val="single" w:color="000000" w:sz="4" w:space="0"/>
              <w:left w:val="single" w:color="000000" w:sz="4" w:space="0"/>
              <w:bottom w:val="single" w:color="auto" w:sz="4" w:space="0"/>
              <w:right w:val="single" w:color="000000" w:sz="4" w:space="0"/>
            </w:tcBorders>
            <w:shd w:val="clear" w:color="auto" w:fill="auto"/>
            <w:vAlign w:val="center"/>
          </w:tcPr>
          <w:p w14:paraId="5C52E00B">
            <w:pPr>
              <w:keepNext w:val="0"/>
              <w:keepLines w:val="0"/>
              <w:pageBreakBefore w:val="0"/>
              <w:widowControl/>
              <w:suppressLineNumbers w:val="0"/>
              <w:overflowPunct/>
              <w:topLinePunct w:val="0"/>
              <w:bidi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105</w:t>
            </w:r>
          </w:p>
        </w:tc>
      </w:tr>
      <w:tr w14:paraId="5A30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61C07C">
            <w:pPr>
              <w:keepNext w:val="0"/>
              <w:keepLines w:val="0"/>
              <w:pageBreakBefore w:val="0"/>
              <w:overflowPunct/>
              <w:topLinePunct w:val="0"/>
              <w:bidi w:val="0"/>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与外部导体连接的端子</w:t>
            </w:r>
          </w:p>
        </w:tc>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49BF8F56">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镀银或镀镍</w:t>
            </w:r>
          </w:p>
        </w:tc>
        <w:tc>
          <w:tcPr>
            <w:tcW w:w="3172" w:type="dxa"/>
            <w:tcBorders>
              <w:top w:val="single" w:color="auto" w:sz="4" w:space="0"/>
              <w:left w:val="single" w:color="auto" w:sz="4" w:space="0"/>
              <w:bottom w:val="single" w:color="auto" w:sz="4" w:space="0"/>
              <w:right w:val="single" w:color="auto" w:sz="4" w:space="0"/>
            </w:tcBorders>
            <w:shd w:val="clear" w:color="auto" w:fill="auto"/>
            <w:vAlign w:val="center"/>
          </w:tcPr>
          <w:p w14:paraId="2C33F342">
            <w:pPr>
              <w:keepNext w:val="0"/>
              <w:keepLines w:val="0"/>
              <w:pageBreakBefore w:val="0"/>
              <w:widowControl/>
              <w:suppressLineNumbers w:val="0"/>
              <w:overflowPunct/>
              <w:topLinePunct w:val="0"/>
              <w:bidi w:val="0"/>
              <w:jc w:val="center"/>
              <w:textAlignment w:val="center"/>
              <w:rPr>
                <w:rFonts w:hint="default"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100</w:t>
            </w:r>
          </w:p>
        </w:tc>
      </w:tr>
      <w:tr w14:paraId="2526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A7F17B">
            <w:pPr>
              <w:keepNext w:val="0"/>
              <w:keepLines w:val="0"/>
              <w:pageBreakBefore w:val="0"/>
              <w:overflowPunct/>
              <w:topLinePunct w:val="0"/>
              <w:bidi w:val="0"/>
              <w:jc w:val="center"/>
              <w:rPr>
                <w:rFonts w:hint="eastAsia" w:ascii="宋体" w:hAnsi="宋体" w:eastAsia="宋体" w:cs="宋体"/>
                <w:i w:val="0"/>
                <w:iCs w:val="0"/>
                <w:color w:val="auto"/>
                <w:sz w:val="18"/>
                <w:szCs w:val="18"/>
                <w:u w:val="none"/>
              </w:rPr>
            </w:pPr>
          </w:p>
        </w:tc>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7C79EE2B">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镀锡</w:t>
            </w:r>
          </w:p>
        </w:tc>
        <w:tc>
          <w:tcPr>
            <w:tcW w:w="3172" w:type="dxa"/>
            <w:tcBorders>
              <w:top w:val="single" w:color="auto" w:sz="4" w:space="0"/>
              <w:left w:val="single" w:color="auto" w:sz="4" w:space="0"/>
              <w:bottom w:val="single" w:color="auto" w:sz="4" w:space="0"/>
              <w:right w:val="single" w:color="auto" w:sz="4" w:space="0"/>
            </w:tcBorders>
            <w:shd w:val="clear" w:color="auto" w:fill="auto"/>
            <w:vAlign w:val="center"/>
          </w:tcPr>
          <w:p w14:paraId="3A57FD48">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snapToGrid w:val="0"/>
                <w:color w:val="auto"/>
                <w:kern w:val="0"/>
                <w:sz w:val="18"/>
                <w:szCs w:val="18"/>
                <w:u w:val="none"/>
                <w:lang w:val="en-US" w:eastAsia="zh-CN"/>
              </w:rPr>
            </w:pPr>
            <w:r>
              <w:rPr>
                <w:rFonts w:hint="eastAsia" w:ascii="宋体" w:hAnsi="宋体" w:eastAsia="宋体" w:cs="宋体"/>
                <w:i w:val="0"/>
                <w:iCs w:val="0"/>
                <w:snapToGrid w:val="0"/>
                <w:color w:val="auto"/>
                <w:kern w:val="0"/>
                <w:sz w:val="18"/>
                <w:szCs w:val="18"/>
                <w:u w:val="none"/>
                <w:lang w:val="en-US" w:eastAsia="zh-CN" w:bidi="ar"/>
              </w:rPr>
              <w:t>115</w:t>
            </w:r>
          </w:p>
        </w:tc>
      </w:tr>
    </w:tbl>
    <w:p w14:paraId="5FE9AE65">
      <w:pPr>
        <w:pStyle w:val="301"/>
        <w:bidi w:val="0"/>
        <w:rPr>
          <w:rFonts w:hint="eastAsia"/>
          <w:color w:val="auto"/>
          <w:lang w:val="en-US" w:eastAsia="zh-CN"/>
        </w:rPr>
      </w:pPr>
      <w:bookmarkStart w:id="217" w:name="_Toc29568"/>
      <w:bookmarkStart w:id="218" w:name="_Toc32301"/>
      <w:bookmarkStart w:id="219" w:name="_Toc24917"/>
      <w:bookmarkStart w:id="220" w:name="_Toc19244"/>
      <w:bookmarkStart w:id="221" w:name="_Toc20980"/>
      <w:bookmarkStart w:id="222" w:name="_Toc24762"/>
      <w:bookmarkStart w:id="223" w:name="_Toc16426"/>
      <w:bookmarkStart w:id="224" w:name="_Toc10701"/>
      <w:bookmarkStart w:id="225" w:name="_Toc19645"/>
      <w:bookmarkStart w:id="226" w:name="_Toc10472"/>
      <w:r>
        <w:rPr>
          <w:rFonts w:hint="eastAsia"/>
          <w:color w:val="auto"/>
          <w:lang w:val="en-US" w:eastAsia="zh-CN"/>
        </w:rPr>
        <w:t>低压电器与外部连接的接线端子的允许温升</w:t>
      </w:r>
      <w:bookmarkEnd w:id="217"/>
      <w:bookmarkEnd w:id="218"/>
      <w:bookmarkEnd w:id="219"/>
      <w:bookmarkEnd w:id="220"/>
      <w:bookmarkEnd w:id="221"/>
      <w:bookmarkEnd w:id="222"/>
      <w:bookmarkEnd w:id="223"/>
      <w:bookmarkEnd w:id="224"/>
      <w:bookmarkEnd w:id="225"/>
      <w:bookmarkEnd w:id="226"/>
    </w:p>
    <w:tbl>
      <w:tblPr>
        <w:tblStyle w:val="88"/>
        <w:tblW w:w="95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82"/>
        <w:gridCol w:w="4787"/>
      </w:tblGrid>
      <w:tr w14:paraId="4FD7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2E19">
            <w:pPr>
              <w:keepNext w:val="0"/>
              <w:keepLines w:val="0"/>
              <w:pageBreakBefore w:val="0"/>
              <w:widowControl/>
              <w:suppressLineNumbers w:val="0"/>
              <w:overflowPunct/>
              <w:topLinePunct w:val="0"/>
              <w:bidi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接线端子材料</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top"/>
          </w:tcPr>
          <w:p w14:paraId="0B1CA7D1">
            <w:pPr>
              <w:keepNext w:val="0"/>
              <w:keepLines w:val="0"/>
              <w:pageBreakBefore w:val="0"/>
              <w:widowControl/>
              <w:suppressLineNumbers w:val="0"/>
              <w:overflowPunct/>
              <w:topLinePunct w:val="0"/>
              <w:bidi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周围空气温度不超过40℃的允许温升</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w:t>
            </w:r>
          </w:p>
        </w:tc>
      </w:tr>
      <w:tr w14:paraId="45BA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5CCD">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裸铜</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3C9C">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60</w:t>
            </w:r>
          </w:p>
        </w:tc>
      </w:tr>
      <w:tr w14:paraId="5E44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9F04">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裸黄铜</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3101">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65</w:t>
            </w:r>
          </w:p>
        </w:tc>
      </w:tr>
      <w:tr w14:paraId="54C2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3F47">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铜(黄铜)镀锡</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B200">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65</w:t>
            </w:r>
          </w:p>
        </w:tc>
      </w:tr>
      <w:tr w14:paraId="4318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E301">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铜(黄铜)镀银或镀镍</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76ED">
            <w:pPr>
              <w:keepNext w:val="0"/>
              <w:keepLines w:val="0"/>
              <w:pageBreakBefore w:val="0"/>
              <w:widowControl/>
              <w:suppressLineNumbers w:val="0"/>
              <w:overflowPunct/>
              <w:topLinePunct w:val="0"/>
              <w:bidi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70</w:t>
            </w:r>
          </w:p>
        </w:tc>
      </w:tr>
    </w:tbl>
    <w:p w14:paraId="1259AE6F">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3"/>
        <w:rPr>
          <w:rFonts w:hint="eastAsia" w:ascii="黑体" w:hAnsi="黑体" w:eastAsia="黑体" w:cs="黑体"/>
          <w:snapToGrid w:val="0"/>
          <w:color w:val="auto"/>
          <w:kern w:val="0"/>
          <w:sz w:val="21"/>
          <w:szCs w:val="21"/>
          <w:lang w:val="en-US" w:eastAsia="zh-CN" w:bidi="ar"/>
        </w:rPr>
      </w:pPr>
      <w:bookmarkStart w:id="227" w:name="_Toc3460"/>
      <w:r>
        <w:rPr>
          <w:rFonts w:hint="eastAsia" w:ascii="黑体" w:hAnsi="黑体" w:eastAsia="黑体" w:cs="黑体"/>
          <w:color w:val="auto"/>
          <w:spacing w:val="11"/>
          <w:sz w:val="21"/>
          <w:szCs w:val="21"/>
          <w:lang w:val="en-US" w:eastAsia="zh-CN"/>
        </w:rPr>
        <w:t>6.1.2  高压配电装置</w:t>
      </w:r>
      <w:bookmarkEnd w:id="227"/>
    </w:p>
    <w:p w14:paraId="5B90EB4E">
      <w:pPr>
        <w:keepNext w:val="0"/>
        <w:keepLines w:val="0"/>
        <w:widowControl/>
        <w:suppressLineNumbers w:val="0"/>
        <w:jc w:val="left"/>
        <w:rPr>
          <w:rFonts w:hint="eastAsia" w:ascii="黑体" w:hAnsi="黑体" w:eastAsia="黑体" w:cs="黑体"/>
          <w:color w:val="auto"/>
          <w:sz w:val="21"/>
          <w:szCs w:val="21"/>
        </w:rPr>
      </w:pPr>
      <w:r>
        <w:rPr>
          <w:rFonts w:hint="eastAsia" w:ascii="黑体" w:hAnsi="黑体" w:eastAsia="黑体" w:cs="黑体"/>
          <w:snapToGrid w:val="0"/>
          <w:color w:val="auto"/>
          <w:kern w:val="0"/>
          <w:sz w:val="21"/>
          <w:szCs w:val="21"/>
          <w:lang w:val="en-US" w:eastAsia="zh-CN" w:bidi="ar"/>
        </w:rPr>
        <w:t xml:space="preserve">6.1.2.1  高压开关和断路器 </w:t>
      </w:r>
    </w:p>
    <w:p w14:paraId="3D61A4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rPr>
          <w:rFonts w:hint="eastAsia" w:ascii="黑体" w:hAnsi="黑体" w:eastAsia="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6.1.2.1.1  直观检查</w:t>
      </w:r>
    </w:p>
    <w:p w14:paraId="2654EC90">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高压开关和断路器应符合下列要求</w:t>
      </w:r>
      <w:r>
        <w:rPr>
          <w:rFonts w:hint="eastAsia" w:ascii="宋体" w:hAnsi="宋体" w:cs="宋体"/>
          <w:snapToGrid w:val="0"/>
          <w:color w:val="auto"/>
          <w:kern w:val="0"/>
          <w:sz w:val="21"/>
          <w:szCs w:val="21"/>
          <w:lang w:val="en-US" w:eastAsia="zh-CN" w:bidi="ar"/>
        </w:rPr>
        <w:t>：</w:t>
      </w:r>
    </w:p>
    <w:p w14:paraId="179998EF">
      <w:pPr>
        <w:keepNext w:val="0"/>
        <w:keepLines w:val="0"/>
        <w:pageBreakBefore w:val="0"/>
        <w:widowControl/>
        <w:numPr>
          <w:ilvl w:val="0"/>
          <w:numId w:val="32"/>
        </w:numPr>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 真空断路器应固定牢靠，外观应清洁</w:t>
      </w:r>
      <w:r>
        <w:rPr>
          <w:rFonts w:hint="eastAsia" w:ascii="宋体" w:hAnsi="宋体" w:cs="宋体"/>
          <w:snapToGrid w:val="0"/>
          <w:color w:val="auto"/>
          <w:kern w:val="0"/>
          <w:sz w:val="21"/>
          <w:szCs w:val="21"/>
          <w:lang w:val="en-US" w:eastAsia="zh-CN" w:bidi="ar"/>
        </w:rPr>
        <w:t>；</w:t>
      </w:r>
    </w:p>
    <w:p w14:paraId="3246CEA4">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电气连接应可靠且接触良好</w:t>
      </w:r>
      <w:r>
        <w:rPr>
          <w:rFonts w:hint="eastAsia" w:ascii="宋体" w:hAnsi="宋体" w:cs="宋体"/>
          <w:snapToGrid w:val="0"/>
          <w:color w:val="auto"/>
          <w:kern w:val="0"/>
          <w:sz w:val="21"/>
          <w:szCs w:val="21"/>
          <w:lang w:val="en-US" w:eastAsia="zh-CN" w:bidi="ar"/>
        </w:rPr>
        <w:t>；</w:t>
      </w:r>
    </w:p>
    <w:p w14:paraId="451CEEB0">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绝缘部件、瓷件应完好无损。</w:t>
      </w:r>
    </w:p>
    <w:p w14:paraId="14D170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rPr>
          <w:rFonts w:hint="eastAsia" w:ascii="黑体" w:hAnsi="黑体" w:eastAsia="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6.1.2.1.2  仪器检测</w:t>
      </w:r>
    </w:p>
    <w:p w14:paraId="7978D820">
      <w:pPr>
        <w:keepNext w:val="0"/>
        <w:keepLines w:val="0"/>
        <w:pageBreakBefore w:val="0"/>
        <w:widowControl/>
        <w:suppressLineNumbers w:val="0"/>
        <w:kinsoku w:val="0"/>
        <w:wordWrap/>
        <w:overflowPunct/>
        <w:topLinePunct w:val="0"/>
        <w:autoSpaceDE/>
        <w:autoSpaceDN/>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测量高压开关和断路器母线连接点、接线端子的温度</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隔离开关、负荷开关设备触头、电缆终端头的温度不应超过表2中规定的数值。</w:t>
      </w:r>
    </w:p>
    <w:p w14:paraId="5EC5B9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rPr>
          <w:rFonts w:hint="eastAsia" w:ascii="黑体" w:hAnsi="黑体" w:eastAsia="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6.1.2.2  高压熔断器</w:t>
      </w:r>
    </w:p>
    <w:p w14:paraId="2DC9BC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rPr>
          <w:rFonts w:hint="eastAsia" w:ascii="黑体" w:hAnsi="黑体" w:eastAsia="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6.1.2.2.1  直观检查</w:t>
      </w:r>
    </w:p>
    <w:p w14:paraId="2D025C8F">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高压熔断器应符合下列要求</w:t>
      </w:r>
      <w:r>
        <w:rPr>
          <w:rFonts w:hint="eastAsia" w:ascii="宋体" w:hAnsi="宋体" w:cs="宋体"/>
          <w:snapToGrid w:val="0"/>
          <w:color w:val="auto"/>
          <w:kern w:val="0"/>
          <w:sz w:val="21"/>
          <w:szCs w:val="21"/>
          <w:lang w:val="en-US" w:eastAsia="zh-CN" w:bidi="ar"/>
        </w:rPr>
        <w:t>：</w:t>
      </w:r>
    </w:p>
    <w:p w14:paraId="24A52AAB">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default"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跌落式熔断器熔管的有机绝缘物应无裂纹、变形</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 </w:t>
      </w:r>
    </w:p>
    <w:p w14:paraId="70E4E5A5">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熔丝的规格应符合设计要求，且无弯曲、压扁或损伤，熔体与尾线应压接紧密牢固；</w:t>
      </w:r>
      <w:r>
        <w:rPr>
          <w:rFonts w:hint="eastAsia" w:ascii="宋体" w:hAnsi="宋体" w:eastAsia="宋体" w:cs="宋体"/>
          <w:snapToGrid w:val="0"/>
          <w:color w:val="auto"/>
          <w:kern w:val="0"/>
          <w:sz w:val="21"/>
          <w:szCs w:val="21"/>
          <w:lang w:val="en-US" w:eastAsia="zh-CN" w:bidi="ar"/>
        </w:rPr>
        <w:t xml:space="preserve"> </w:t>
      </w:r>
    </w:p>
    <w:p w14:paraId="5B8A4C5F">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在使用过程中熔断器的保护级别应符合原设计的要求，不得降低保护级别</w:t>
      </w:r>
      <w:r>
        <w:rPr>
          <w:rFonts w:hint="eastAsia" w:ascii="宋体" w:hAnsi="宋体" w:cs="宋体"/>
          <w:snapToGrid w:val="0"/>
          <w:color w:val="auto"/>
          <w:kern w:val="0"/>
          <w:sz w:val="21"/>
          <w:szCs w:val="21"/>
          <w:lang w:val="en-US" w:eastAsia="zh-CN" w:bidi="ar"/>
        </w:rPr>
        <w:t>。</w:t>
      </w:r>
    </w:p>
    <w:p w14:paraId="3912B0F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rPr>
          <w:rFonts w:hint="eastAsia" w:ascii="宋体" w:hAnsi="宋体" w:eastAsia="宋体" w:cs="宋体"/>
          <w:snapToGrid w:val="0"/>
          <w:color w:val="auto"/>
          <w:kern w:val="0"/>
          <w:sz w:val="22"/>
          <w:szCs w:val="22"/>
          <w:lang w:val="en-US" w:eastAsia="zh-CN" w:bidi="ar"/>
        </w:rPr>
      </w:pPr>
      <w:r>
        <w:rPr>
          <w:rFonts w:hint="eastAsia" w:ascii="黑体" w:hAnsi="黑体" w:eastAsia="黑体" w:cs="黑体"/>
          <w:snapToGrid w:val="0"/>
          <w:color w:val="auto"/>
          <w:kern w:val="0"/>
          <w:sz w:val="21"/>
          <w:szCs w:val="21"/>
          <w:lang w:val="en-US" w:eastAsia="zh-CN" w:bidi="ar"/>
        </w:rPr>
        <w:t>6.1.2.2.2  仪器检测</w:t>
      </w:r>
    </w:p>
    <w:p w14:paraId="65C14CBC">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val="0"/>
        <w:snapToGrid w:val="0"/>
        <w:spacing w:before="0" w:beforeAutospacing="0" w:after="0" w:afterAutospacing="0" w:line="240" w:lineRule="auto"/>
        <w:ind w:right="0"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测量高压熔断器各连接点、接线端子、动静触头的温度不应超过表2中规定的数值</w:t>
      </w:r>
      <w:r>
        <w:rPr>
          <w:rFonts w:hint="eastAsia" w:ascii="宋体" w:hAnsi="宋体" w:cs="宋体"/>
          <w:snapToGrid w:val="0"/>
          <w:color w:val="auto"/>
          <w:kern w:val="0"/>
          <w:sz w:val="21"/>
          <w:szCs w:val="21"/>
          <w:lang w:val="en-US" w:eastAsia="zh-CN" w:bidi="ar"/>
        </w:rPr>
        <w:t>。</w:t>
      </w:r>
    </w:p>
    <w:p w14:paraId="7B4CE1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rPr>
          <w:rFonts w:hint="eastAsia" w:ascii="黑体" w:hAnsi="黑体" w:eastAsia="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6.1.2.3  电压互感器和电流互感器</w:t>
      </w:r>
    </w:p>
    <w:p w14:paraId="38153E1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rPr>
          <w:rFonts w:hint="eastAsia" w:ascii="黑体" w:hAnsi="黑体" w:eastAsia="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6.1.2.3.1  直观检查</w:t>
      </w:r>
    </w:p>
    <w:p w14:paraId="132205E2">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lang w:val="en-US"/>
        </w:rPr>
      </w:pPr>
      <w:r>
        <w:rPr>
          <w:rFonts w:hint="eastAsia" w:ascii="宋体" w:hAnsi="宋体" w:eastAsia="宋体" w:cs="宋体"/>
          <w:snapToGrid w:val="0"/>
          <w:color w:val="auto"/>
          <w:kern w:val="0"/>
          <w:sz w:val="21"/>
          <w:szCs w:val="21"/>
          <w:lang w:val="en-US" w:eastAsia="zh-CN" w:bidi="ar"/>
        </w:rPr>
        <w:t>电压互感器和电流互感器应符合下列要求</w:t>
      </w:r>
      <w:r>
        <w:rPr>
          <w:rFonts w:hint="eastAsia" w:ascii="宋体" w:hAnsi="宋体" w:cs="宋体"/>
          <w:snapToGrid w:val="0"/>
          <w:color w:val="auto"/>
          <w:kern w:val="0"/>
          <w:sz w:val="21"/>
          <w:szCs w:val="21"/>
          <w:lang w:val="en-US" w:eastAsia="zh-CN" w:bidi="ar"/>
        </w:rPr>
        <w:t>：</w:t>
      </w:r>
    </w:p>
    <w:p w14:paraId="0EC56F82">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设备外观应完整无缺损</w:t>
      </w:r>
      <w:r>
        <w:rPr>
          <w:rFonts w:hint="eastAsia" w:ascii="宋体" w:hAnsi="宋体" w:cs="宋体"/>
          <w:snapToGrid w:val="0"/>
          <w:color w:val="auto"/>
          <w:kern w:val="0"/>
          <w:sz w:val="21"/>
          <w:szCs w:val="21"/>
          <w:lang w:val="en-US" w:eastAsia="zh-CN" w:bidi="ar"/>
        </w:rPr>
        <w:t>；</w:t>
      </w:r>
    </w:p>
    <w:p w14:paraId="1DFAD50F">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互感器应无渗漏，油位、气压、密度应</w:t>
      </w:r>
      <w:r>
        <w:rPr>
          <w:rFonts w:hint="eastAsia" w:ascii="宋体" w:hAnsi="宋体" w:cs="宋体"/>
          <w:snapToGrid w:val="0"/>
          <w:color w:val="auto"/>
          <w:kern w:val="0"/>
          <w:sz w:val="21"/>
          <w:szCs w:val="21"/>
          <w:lang w:val="en-US" w:eastAsia="zh-CN" w:bidi="ar"/>
        </w:rPr>
        <w:t>正常；</w:t>
      </w:r>
    </w:p>
    <w:p w14:paraId="2C773DC7">
      <w:pPr>
        <w:keepNext w:val="0"/>
        <w:keepLines w:val="0"/>
        <w:widowControl/>
        <w:suppressLineNumbers w:val="0"/>
        <w:ind w:firstLine="420" w:firstLineChars="200"/>
        <w:jc w:val="left"/>
        <w:rPr>
          <w:rFonts w:hint="eastAsia" w:ascii="宋体" w:hAnsi="宋体" w:eastAsia="宋体" w:cs="宋体"/>
          <w:color w:val="auto"/>
          <w:sz w:val="21"/>
          <w:szCs w:val="21"/>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电压互感器和电流互感器的下列各部位应可靠接地：</w:t>
      </w:r>
    </w:p>
    <w:p w14:paraId="1F0A5C7A">
      <w:pPr>
        <w:keepNext w:val="0"/>
        <w:keepLines w:val="0"/>
        <w:pageBreakBefore w:val="0"/>
        <w:widowControl/>
        <w:suppressLineNumbers w:val="0"/>
        <w:kinsoku w:val="0"/>
        <w:wordWrap/>
        <w:overflowPunct/>
        <w:topLinePunct w:val="0"/>
        <w:autoSpaceDE w:val="0"/>
        <w:autoSpaceDN w:val="0"/>
        <w:bidi w:val="0"/>
        <w:adjustRightInd w:val="0"/>
        <w:snapToGrid w:val="0"/>
        <w:ind w:firstLine="840" w:firstLineChars="4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1</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分级绝缘的电压互感器，其一次绕组的接地引出端子； </w:t>
      </w:r>
    </w:p>
    <w:p w14:paraId="3D3EEAE3">
      <w:pPr>
        <w:keepNext w:val="0"/>
        <w:keepLines w:val="0"/>
        <w:pageBreakBefore w:val="0"/>
        <w:widowControl/>
        <w:suppressLineNumbers w:val="0"/>
        <w:kinsoku w:val="0"/>
        <w:wordWrap/>
        <w:overflowPunct/>
        <w:topLinePunct w:val="0"/>
        <w:autoSpaceDE w:val="0"/>
        <w:autoSpaceDN w:val="0"/>
        <w:bidi w:val="0"/>
        <w:adjustRightInd w:val="0"/>
        <w:snapToGrid w:val="0"/>
        <w:ind w:firstLine="840" w:firstLineChars="4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2</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电容型绝缘的电流互感器，其一次绕组末屏的引出端子、铁芯引出的接地端子； </w:t>
      </w:r>
    </w:p>
    <w:p w14:paraId="49388E26">
      <w:pPr>
        <w:keepNext w:val="0"/>
        <w:keepLines w:val="0"/>
        <w:pageBreakBefore w:val="0"/>
        <w:widowControl/>
        <w:suppressLineNumbers w:val="0"/>
        <w:kinsoku w:val="0"/>
        <w:wordWrap/>
        <w:overflowPunct/>
        <w:topLinePunct w:val="0"/>
        <w:autoSpaceDE w:val="0"/>
        <w:autoSpaceDN w:val="0"/>
        <w:bidi w:val="0"/>
        <w:adjustRightInd w:val="0"/>
        <w:snapToGrid w:val="0"/>
        <w:ind w:firstLine="840" w:firstLineChars="400"/>
        <w:jc w:val="left"/>
        <w:textAlignment w:val="baseline"/>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3</w:t>
      </w:r>
      <w:r>
        <w:rPr>
          <w:rFonts w:hint="eastAsia" w:ascii="宋体" w:hAnsi="宋体" w:cs="宋体"/>
          <w:snapToGrid w:val="0"/>
          <w:color w:val="auto"/>
          <w:kern w:val="0"/>
          <w:sz w:val="21"/>
          <w:szCs w:val="21"/>
          <w:lang w:val="en-US" w:eastAsia="zh-CN" w:bidi="ar"/>
        </w:rPr>
        <w:t>)  互感器的外壳；</w:t>
      </w:r>
    </w:p>
    <w:p w14:paraId="7A5068F2">
      <w:pPr>
        <w:keepNext w:val="0"/>
        <w:keepLines w:val="0"/>
        <w:pageBreakBefore w:val="0"/>
        <w:widowControl/>
        <w:suppressLineNumbers w:val="0"/>
        <w:kinsoku w:val="0"/>
        <w:wordWrap/>
        <w:overflowPunct/>
        <w:topLinePunct w:val="0"/>
        <w:autoSpaceDE w:val="0"/>
        <w:autoSpaceDN w:val="0"/>
        <w:bidi w:val="0"/>
        <w:adjustRightInd w:val="0"/>
        <w:snapToGrid w:val="0"/>
        <w:ind w:firstLine="840" w:firstLineChars="4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4)</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倒装式电流互感器二次绕组的金属导管。 </w:t>
      </w:r>
    </w:p>
    <w:p w14:paraId="5B0213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rPr>
          <w:rFonts w:hint="eastAsia" w:ascii="黑体" w:hAnsi="黑体" w:eastAsia="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6.1.2.3.2  仪器检测</w:t>
      </w:r>
    </w:p>
    <w:p w14:paraId="0C7678AA">
      <w:pPr>
        <w:keepNext w:val="0"/>
        <w:keepLines w:val="0"/>
        <w:pageBreakBefore w:val="0"/>
        <w:widowControl/>
        <w:suppressLineNumbers w:val="0"/>
        <w:kinsoku w:val="0"/>
        <w:wordWrap/>
        <w:overflowPunct/>
        <w:topLinePunct w:val="0"/>
        <w:autoSpaceDE/>
        <w:autoSpaceDN/>
        <w:bidi w:val="0"/>
        <w:adjustRightInd w:val="0"/>
        <w:snapToGrid w:val="0"/>
        <w:spacing w:before="0" w:after="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测量电压、电流互感器各连接点、接线端子的温度不应超过表2中规定的数值</w:t>
      </w:r>
      <w:r>
        <w:rPr>
          <w:rFonts w:hint="eastAsia" w:ascii="宋体" w:hAnsi="宋体" w:cs="宋体"/>
          <w:snapToGrid w:val="0"/>
          <w:color w:val="auto"/>
          <w:kern w:val="0"/>
          <w:sz w:val="21"/>
          <w:szCs w:val="21"/>
          <w:lang w:val="en-US" w:eastAsia="zh-CN" w:bidi="ar"/>
        </w:rPr>
        <w:t>。</w:t>
      </w:r>
    </w:p>
    <w:p w14:paraId="388107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rPr>
          <w:rFonts w:hint="eastAsia" w:ascii="黑体" w:hAnsi="黑体" w:eastAsia="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6.1.2.4  高压电容器</w:t>
      </w:r>
    </w:p>
    <w:p w14:paraId="118E64D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6.1.2.4.1  直观检查</w:t>
      </w:r>
    </w:p>
    <w:p w14:paraId="4D69B2BD">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高压电容器应符合下列要求</w:t>
      </w:r>
      <w:r>
        <w:rPr>
          <w:rFonts w:hint="eastAsia" w:ascii="宋体" w:hAnsi="宋体" w:cs="宋体"/>
          <w:snapToGrid w:val="0"/>
          <w:color w:val="auto"/>
          <w:kern w:val="0"/>
          <w:sz w:val="21"/>
          <w:szCs w:val="21"/>
          <w:lang w:val="en-US" w:eastAsia="zh-CN" w:bidi="ar"/>
        </w:rPr>
        <w:t>：</w:t>
      </w:r>
    </w:p>
    <w:p w14:paraId="6387C3B9">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配电房</w:t>
      </w:r>
      <w:r>
        <w:rPr>
          <w:rFonts w:hint="eastAsia" w:ascii="宋体" w:hAnsi="宋体" w:eastAsia="宋体" w:cs="宋体"/>
          <w:snapToGrid w:val="0"/>
          <w:color w:val="auto"/>
          <w:kern w:val="0"/>
          <w:sz w:val="21"/>
          <w:szCs w:val="21"/>
          <w:lang w:val="en-US" w:eastAsia="zh-CN" w:bidi="ar"/>
        </w:rPr>
        <w:t>设置高压电容器时，应采用难燃介质的电容器</w:t>
      </w:r>
      <w:r>
        <w:rPr>
          <w:rFonts w:hint="eastAsia" w:ascii="宋体" w:hAnsi="宋体" w:cs="宋体"/>
          <w:snapToGrid w:val="0"/>
          <w:color w:val="auto"/>
          <w:kern w:val="0"/>
          <w:sz w:val="21"/>
          <w:szCs w:val="21"/>
          <w:lang w:val="en-US" w:eastAsia="zh-CN" w:bidi="ar"/>
        </w:rPr>
        <w:t>；</w:t>
      </w:r>
    </w:p>
    <w:p w14:paraId="124BC53B">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2"/>
          <w:szCs w:val="22"/>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电容器的额定电压与电力网的标称电压相同时，应将电容器的外壳和支架接地</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 </w:t>
      </w:r>
    </w:p>
    <w:p w14:paraId="5E861853">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高压电容器组应直接与放电装置可靠连接，中间不应设置开关或熔断器</w:t>
      </w:r>
      <w:r>
        <w:rPr>
          <w:rFonts w:hint="eastAsia" w:ascii="宋体" w:hAnsi="宋体" w:cs="宋体"/>
          <w:snapToGrid w:val="0"/>
          <w:color w:val="auto"/>
          <w:kern w:val="0"/>
          <w:sz w:val="21"/>
          <w:szCs w:val="21"/>
          <w:lang w:val="en-US" w:eastAsia="zh-CN" w:bidi="ar"/>
        </w:rPr>
        <w:t>；</w:t>
      </w:r>
    </w:p>
    <w:p w14:paraId="755C7DAB">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d)</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外壳应无凹凸或渗油现象，引出线端子连接应牢固，垫圈、螺母应齐全</w:t>
      </w:r>
      <w:r>
        <w:rPr>
          <w:rFonts w:hint="eastAsia" w:ascii="宋体" w:hAnsi="宋体" w:cs="宋体"/>
          <w:snapToGrid w:val="0"/>
          <w:color w:val="auto"/>
          <w:kern w:val="0"/>
          <w:sz w:val="21"/>
          <w:szCs w:val="21"/>
          <w:lang w:val="en-US" w:eastAsia="zh-CN" w:bidi="ar"/>
        </w:rPr>
        <w:t>；</w:t>
      </w:r>
    </w:p>
    <w:p w14:paraId="2087BD0D">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default"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e)</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放电线圈瓷套应无损伤</w:t>
      </w:r>
      <w:r>
        <w:rPr>
          <w:rFonts w:hint="eastAsia" w:ascii="宋体" w:hAnsi="宋体" w:cs="宋体"/>
          <w:snapToGrid w:val="0"/>
          <w:color w:val="auto"/>
          <w:kern w:val="0"/>
          <w:sz w:val="21"/>
          <w:szCs w:val="21"/>
          <w:lang w:val="en-US" w:eastAsia="zh-CN" w:bidi="ar"/>
        </w:rPr>
        <w:t>，放电回路应完整；</w:t>
      </w:r>
      <w:r>
        <w:rPr>
          <w:rFonts w:hint="eastAsia" w:ascii="宋体" w:hAnsi="宋体" w:eastAsia="宋体" w:cs="宋体"/>
          <w:snapToGrid w:val="0"/>
          <w:color w:val="auto"/>
          <w:kern w:val="0"/>
          <w:sz w:val="21"/>
          <w:szCs w:val="21"/>
          <w:lang w:val="en-US" w:eastAsia="zh-CN" w:bidi="ar"/>
        </w:rPr>
        <w:t xml:space="preserve">  </w:t>
      </w:r>
    </w:p>
    <w:p w14:paraId="1869EF1C">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default"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 xml:space="preserve">f)  </w:t>
      </w:r>
      <w:r>
        <w:rPr>
          <w:rFonts w:hint="eastAsia" w:ascii="宋体" w:hAnsi="宋体" w:eastAsia="宋体" w:cs="宋体"/>
          <w:snapToGrid w:val="0"/>
          <w:color w:val="auto"/>
          <w:kern w:val="0"/>
          <w:sz w:val="21"/>
          <w:szCs w:val="21"/>
          <w:lang w:val="en-US" w:eastAsia="zh-CN" w:bidi="ar"/>
        </w:rPr>
        <w:t>电容器外壳及支架的接地应可靠、防腐完好</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  </w:t>
      </w:r>
    </w:p>
    <w:p w14:paraId="596A1E41">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default"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 xml:space="preserve">g)  </w:t>
      </w:r>
      <w:r>
        <w:rPr>
          <w:rFonts w:hint="eastAsia" w:ascii="宋体" w:hAnsi="宋体" w:eastAsia="宋体" w:cs="宋体"/>
          <w:snapToGrid w:val="0"/>
          <w:color w:val="auto"/>
          <w:kern w:val="0"/>
          <w:sz w:val="21"/>
          <w:szCs w:val="21"/>
          <w:lang w:val="en-US" w:eastAsia="zh-CN" w:bidi="ar"/>
        </w:rPr>
        <w:t>支持瓷瓶外表清洁，完好无破损</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 </w:t>
      </w:r>
    </w:p>
    <w:p w14:paraId="098FF1F1">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 xml:space="preserve">h)  </w:t>
      </w:r>
      <w:r>
        <w:rPr>
          <w:rFonts w:hint="eastAsia" w:ascii="宋体" w:hAnsi="宋体" w:eastAsia="宋体" w:cs="宋体"/>
          <w:snapToGrid w:val="0"/>
          <w:color w:val="auto"/>
          <w:kern w:val="0"/>
          <w:sz w:val="21"/>
          <w:szCs w:val="21"/>
          <w:lang w:val="en-US" w:eastAsia="zh-CN" w:bidi="ar"/>
        </w:rPr>
        <w:t>电容器室内的通风装置应良好</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 </w:t>
      </w:r>
    </w:p>
    <w:p w14:paraId="76A08E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afterLines="5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6.1.2.4.2  仪器检测</w:t>
      </w:r>
    </w:p>
    <w:p w14:paraId="3FBD7B83">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default"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高压电容器应符合下列要求</w:t>
      </w:r>
      <w:r>
        <w:rPr>
          <w:rFonts w:hint="eastAsia" w:ascii="宋体" w:hAnsi="宋体" w:cs="宋体"/>
          <w:snapToGrid w:val="0"/>
          <w:color w:val="auto"/>
          <w:kern w:val="0"/>
          <w:sz w:val="21"/>
          <w:szCs w:val="21"/>
          <w:lang w:val="en-US" w:eastAsia="zh-CN" w:bidi="ar"/>
        </w:rPr>
        <w:t>：</w:t>
      </w:r>
    </w:p>
    <w:p w14:paraId="4F6A4EE3">
      <w:pPr>
        <w:keepNext w:val="0"/>
        <w:keepLines w:val="0"/>
        <w:pageBreakBefore w:val="0"/>
        <w:widowControl/>
        <w:suppressLineNumbers w:val="0"/>
        <w:kinsoku w:val="0"/>
        <w:wordWrap/>
        <w:overflowPunct/>
        <w:topLinePunct w:val="0"/>
        <w:autoSpaceDE/>
        <w:autoSpaceDN/>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连接点、接线端子的温度不应超过表2中规定的数值</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 </w:t>
      </w:r>
    </w:p>
    <w:p w14:paraId="307B05AD">
      <w:pPr>
        <w:keepNext w:val="0"/>
        <w:keepLines w:val="0"/>
        <w:pageBreakBefore w:val="0"/>
        <w:widowControl/>
        <w:suppressLineNumbers w:val="0"/>
        <w:kinsoku w:val="0"/>
        <w:wordWrap/>
        <w:overflowPunct/>
        <w:topLinePunct w:val="0"/>
        <w:autoSpaceDE/>
        <w:autoSpaceDN/>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电容器连续运行电流不应超过1.3倍额定电流</w:t>
      </w:r>
      <w:r>
        <w:rPr>
          <w:rFonts w:hint="eastAsia" w:ascii="宋体" w:hAnsi="宋体" w:cs="宋体"/>
          <w:snapToGrid w:val="0"/>
          <w:color w:val="auto"/>
          <w:kern w:val="0"/>
          <w:sz w:val="21"/>
          <w:szCs w:val="21"/>
          <w:lang w:val="en-US" w:eastAsia="zh-CN" w:bidi="ar"/>
        </w:rPr>
        <w:t>。</w:t>
      </w:r>
    </w:p>
    <w:p w14:paraId="3446721C">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hint="eastAsia" w:ascii="黑体" w:hAnsi="黑体" w:eastAsia="黑体" w:cs="黑体"/>
          <w:color w:val="auto"/>
          <w:spacing w:val="11"/>
          <w:sz w:val="21"/>
          <w:szCs w:val="21"/>
          <w:lang w:val="en-US" w:eastAsia="zh-CN"/>
        </w:rPr>
      </w:pPr>
      <w:bookmarkStart w:id="228" w:name="_Toc27056"/>
      <w:bookmarkStart w:id="229" w:name="_Toc999"/>
      <w:bookmarkStart w:id="230" w:name="_Toc18533"/>
      <w:bookmarkStart w:id="231" w:name="_Toc19433"/>
      <w:bookmarkStart w:id="232" w:name="_Toc27036"/>
      <w:bookmarkStart w:id="233" w:name="_Toc11616"/>
      <w:bookmarkStart w:id="234" w:name="_Toc10119"/>
      <w:bookmarkStart w:id="235" w:name="_Toc7762"/>
      <w:bookmarkStart w:id="236" w:name="_Toc9507"/>
      <w:bookmarkStart w:id="237" w:name="_Toc15091"/>
      <w:bookmarkStart w:id="238" w:name="_Toc16091"/>
      <w:bookmarkStart w:id="239" w:name="_Toc32278"/>
      <w:bookmarkStart w:id="240" w:name="_Toc9568"/>
      <w:bookmarkStart w:id="241" w:name="_Toc22841"/>
      <w:bookmarkStart w:id="242" w:name="_Toc12379"/>
      <w:bookmarkStart w:id="243" w:name="_Toc23196"/>
      <w:bookmarkStart w:id="244" w:name="_Toc19488"/>
      <w:bookmarkStart w:id="245" w:name="_Toc26941"/>
      <w:bookmarkStart w:id="246" w:name="_Toc841"/>
      <w:bookmarkStart w:id="247" w:name="_Toc32532"/>
      <w:bookmarkStart w:id="248" w:name="_Toc19126"/>
      <w:bookmarkStart w:id="249" w:name="_Toc1872"/>
      <w:bookmarkStart w:id="250" w:name="_Toc1272"/>
      <w:bookmarkStart w:id="251" w:name="_Toc17497"/>
      <w:r>
        <w:rPr>
          <w:rFonts w:hint="eastAsia" w:ascii="黑体" w:hAnsi="黑体" w:eastAsia="黑体" w:cs="黑体"/>
          <w:snapToGrid w:val="0"/>
          <w:color w:val="auto"/>
          <w:kern w:val="0"/>
          <w:sz w:val="21"/>
          <w:szCs w:val="21"/>
          <w:lang w:val="en-US" w:eastAsia="zh-CN" w:bidi="ar"/>
        </w:rPr>
        <w:t xml:space="preserve">6.2  </w:t>
      </w:r>
      <w:r>
        <w:rPr>
          <w:rFonts w:hint="eastAsia" w:ascii="黑体" w:hAnsi="黑体" w:eastAsia="黑体" w:cs="黑体"/>
          <w:color w:val="auto"/>
          <w:spacing w:val="11"/>
          <w:sz w:val="21"/>
          <w:szCs w:val="21"/>
          <w:lang w:val="en-US" w:eastAsia="zh-CN"/>
        </w:rPr>
        <w:t>低压电器</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09910876">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3"/>
        <w:rPr>
          <w:rFonts w:hint="eastAsia" w:ascii="黑体" w:hAnsi="黑体" w:eastAsia="黑体" w:cs="黑体"/>
          <w:color w:val="auto"/>
          <w:spacing w:val="11"/>
          <w:sz w:val="21"/>
          <w:szCs w:val="21"/>
          <w:lang w:val="en-US" w:eastAsia="zh-CN"/>
        </w:rPr>
      </w:pPr>
      <w:bookmarkStart w:id="252" w:name="_Toc4179"/>
      <w:r>
        <w:rPr>
          <w:rFonts w:hint="eastAsia" w:ascii="黑体" w:hAnsi="黑体" w:eastAsia="黑体" w:cs="黑体"/>
          <w:color w:val="auto"/>
          <w:spacing w:val="11"/>
          <w:sz w:val="21"/>
          <w:szCs w:val="21"/>
          <w:lang w:val="en-US" w:eastAsia="zh-CN"/>
        </w:rPr>
        <w:t>6.2.1  低压配电和控制电器</w:t>
      </w:r>
      <w:bookmarkEnd w:id="252"/>
    </w:p>
    <w:p w14:paraId="4962F180">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9"/>
        <w:rPr>
          <w:rFonts w:hint="default" w:ascii="黑体" w:hAnsi="黑体" w:eastAsia="黑体" w:cs="黑体"/>
          <w:color w:val="auto"/>
          <w:spacing w:val="11"/>
          <w:sz w:val="21"/>
          <w:szCs w:val="21"/>
          <w:lang w:val="en-US" w:eastAsia="zh-CN"/>
        </w:rPr>
      </w:pPr>
      <w:r>
        <w:rPr>
          <w:rFonts w:hint="eastAsia" w:ascii="黑体" w:hAnsi="黑体" w:eastAsia="黑体" w:cs="黑体"/>
          <w:color w:val="auto"/>
          <w:spacing w:val="11"/>
          <w:sz w:val="21"/>
          <w:szCs w:val="21"/>
          <w:lang w:val="en-US" w:eastAsia="zh-CN"/>
        </w:rPr>
        <w:t>6.2.1.1  直观检查</w:t>
      </w:r>
    </w:p>
    <w:p w14:paraId="778F6CC9">
      <w:pPr>
        <w:keepNext w:val="0"/>
        <w:keepLines w:val="0"/>
        <w:pageBreakBefore w:val="0"/>
        <w:widowControl/>
        <w:suppressLineNumbers w:val="0"/>
        <w:overflowPunct/>
        <w:topLinePunct w:val="0"/>
        <w:bidi w:val="0"/>
        <w:jc w:val="left"/>
        <w:rPr>
          <w:rFonts w:hint="eastAsia" w:ascii="宋体" w:hAnsi="宋体" w:eastAsia="宋体" w:cs="宋体"/>
          <w:color w:val="auto"/>
          <w:sz w:val="21"/>
          <w:szCs w:val="21"/>
        </w:rPr>
      </w:pPr>
      <w:r>
        <w:rPr>
          <w:rFonts w:hint="eastAsia" w:ascii="黑体" w:hAnsi="黑体" w:eastAsia="黑体" w:cs="黑体"/>
          <w:snapToGrid w:val="0"/>
          <w:color w:val="auto"/>
          <w:kern w:val="0"/>
          <w:sz w:val="21"/>
          <w:szCs w:val="21"/>
          <w:lang w:val="en-US" w:eastAsia="zh-CN" w:bidi="ar"/>
        </w:rPr>
        <w:t>6.2.1.1.1</w:t>
      </w:r>
      <w:r>
        <w:rPr>
          <w:rFonts w:hint="eastAsia" w:ascii="宋体" w:hAnsi="宋体" w:eastAsia="宋体" w:cs="宋体"/>
          <w:snapToGrid w:val="0"/>
          <w:color w:val="auto"/>
          <w:kern w:val="0"/>
          <w:sz w:val="21"/>
          <w:szCs w:val="21"/>
          <w:lang w:val="en-US" w:eastAsia="zh-CN" w:bidi="ar"/>
        </w:rPr>
        <w:t xml:space="preserve">  低压配电与控制电器的外部接线</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应符合以下要求</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 </w:t>
      </w:r>
    </w:p>
    <w:p w14:paraId="48F40188">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导线绝缘应良好、无损伤</w:t>
      </w:r>
      <w:r>
        <w:rPr>
          <w:rFonts w:hint="eastAsia" w:ascii="宋体" w:hAnsi="宋体" w:cs="宋体"/>
          <w:snapToGrid w:val="0"/>
          <w:color w:val="auto"/>
          <w:kern w:val="0"/>
          <w:sz w:val="21"/>
          <w:szCs w:val="21"/>
          <w:lang w:val="en-US" w:eastAsia="zh-CN" w:bidi="ar"/>
        </w:rPr>
        <w:t>；</w:t>
      </w:r>
    </w:p>
    <w:p w14:paraId="7A2F3506">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电源侧进线应接在进线端，负荷侧出线应接在出线端</w:t>
      </w:r>
      <w:r>
        <w:rPr>
          <w:rFonts w:hint="eastAsia" w:ascii="宋体" w:hAnsi="宋体" w:cs="宋体"/>
          <w:snapToGrid w:val="0"/>
          <w:color w:val="auto"/>
          <w:kern w:val="0"/>
          <w:sz w:val="21"/>
          <w:szCs w:val="21"/>
          <w:lang w:val="en-US" w:eastAsia="zh-CN" w:bidi="ar"/>
        </w:rPr>
        <w:t>；</w:t>
      </w:r>
    </w:p>
    <w:p w14:paraId="69ED79F0">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接线应采用有金属防</w:t>
      </w:r>
      <w:r>
        <w:rPr>
          <w:rFonts w:hint="eastAsia" w:ascii="宋体" w:hAnsi="宋体" w:cs="宋体"/>
          <w:snapToGrid w:val="0"/>
          <w:color w:val="auto"/>
          <w:kern w:val="0"/>
          <w:sz w:val="21"/>
          <w:szCs w:val="21"/>
          <w:lang w:val="en-US" w:eastAsia="zh-CN" w:bidi="ar"/>
        </w:rPr>
        <w:t>锈</w:t>
      </w:r>
      <w:r>
        <w:rPr>
          <w:rFonts w:hint="eastAsia" w:ascii="宋体" w:hAnsi="宋体" w:eastAsia="宋体" w:cs="宋体"/>
          <w:snapToGrid w:val="0"/>
          <w:color w:val="auto"/>
          <w:kern w:val="0"/>
          <w:sz w:val="21"/>
          <w:szCs w:val="21"/>
          <w:lang w:val="en-US" w:eastAsia="zh-CN" w:bidi="ar"/>
        </w:rPr>
        <w:t>层或铜质的螺栓和螺钉，并应有配套的防松装置</w:t>
      </w:r>
      <w:r>
        <w:rPr>
          <w:rFonts w:hint="eastAsia" w:ascii="宋体" w:hAnsi="宋体" w:cs="宋体"/>
          <w:snapToGrid w:val="0"/>
          <w:color w:val="auto"/>
          <w:kern w:val="0"/>
          <w:sz w:val="21"/>
          <w:szCs w:val="21"/>
          <w:lang w:val="en-US" w:eastAsia="zh-CN" w:bidi="ar"/>
        </w:rPr>
        <w:t>。</w:t>
      </w:r>
    </w:p>
    <w:p w14:paraId="07C8B5B6">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6.2.1.1.2</w:t>
      </w:r>
      <w:r>
        <w:rPr>
          <w:rFonts w:hint="eastAsia" w:ascii="宋体" w:hAnsi="宋体" w:eastAsia="宋体" w:cs="宋体"/>
          <w:snapToGrid w:val="0"/>
          <w:color w:val="auto"/>
          <w:kern w:val="0"/>
          <w:sz w:val="21"/>
          <w:szCs w:val="21"/>
          <w:lang w:val="en-US" w:eastAsia="zh-CN" w:bidi="ar"/>
        </w:rPr>
        <w:t xml:space="preserve">  需要接地的电器金属外壳、框架</w:t>
      </w:r>
      <w:r>
        <w:rPr>
          <w:rFonts w:hint="eastAsia" w:ascii="宋体" w:hAnsi="宋体" w:cs="宋体"/>
          <w:snapToGrid w:val="0"/>
          <w:color w:val="auto"/>
          <w:kern w:val="0"/>
          <w:sz w:val="21"/>
          <w:szCs w:val="21"/>
          <w:lang w:val="en-US" w:eastAsia="zh-CN" w:bidi="ar"/>
        </w:rPr>
        <w:t>应</w:t>
      </w:r>
      <w:r>
        <w:rPr>
          <w:rFonts w:hint="eastAsia" w:ascii="宋体" w:hAnsi="宋体" w:eastAsia="宋体" w:cs="宋体"/>
          <w:snapToGrid w:val="0"/>
          <w:color w:val="auto"/>
          <w:kern w:val="0"/>
          <w:sz w:val="21"/>
          <w:szCs w:val="21"/>
          <w:lang w:val="en-US" w:eastAsia="zh-CN" w:bidi="ar"/>
        </w:rPr>
        <w:t>可靠接地。</w:t>
      </w:r>
      <w:r>
        <w:rPr>
          <w:rFonts w:hint="eastAsia" w:ascii="宋体" w:hAnsi="宋体" w:eastAsia="宋体" w:cs="宋体"/>
          <w:snapToGrid w:val="0"/>
          <w:color w:val="auto"/>
          <w:kern w:val="0"/>
          <w:sz w:val="21"/>
          <w:szCs w:val="21"/>
          <w:lang w:val="en-US" w:eastAsia="zh-CN" w:bidi="ar"/>
        </w:rPr>
        <w:t xml:space="preserve"> </w:t>
      </w:r>
    </w:p>
    <w:p w14:paraId="6DFFB18F">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6.2.1.1.3</w:t>
      </w:r>
      <w:r>
        <w:rPr>
          <w:rFonts w:hint="eastAsia" w:ascii="宋体" w:hAnsi="宋体" w:eastAsia="宋体" w:cs="宋体"/>
          <w:snapToGrid w:val="0"/>
          <w:color w:val="auto"/>
          <w:kern w:val="0"/>
          <w:sz w:val="21"/>
          <w:szCs w:val="21"/>
          <w:lang w:val="en-US" w:eastAsia="zh-CN" w:bidi="ar"/>
        </w:rPr>
        <w:t xml:space="preserve">  发热元件宜安装在散热良好的地方，两个发热元件之间的连线应采用耐热导线。</w:t>
      </w:r>
    </w:p>
    <w:p w14:paraId="2956AD85">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6.2.1.1.4</w:t>
      </w:r>
      <w:r>
        <w:rPr>
          <w:rFonts w:hint="eastAsia" w:ascii="宋体" w:hAnsi="宋体" w:eastAsia="宋体" w:cs="宋体"/>
          <w:snapToGrid w:val="0"/>
          <w:color w:val="auto"/>
          <w:kern w:val="0"/>
          <w:sz w:val="21"/>
          <w:szCs w:val="21"/>
          <w:lang w:val="en-US" w:eastAsia="zh-CN" w:bidi="ar"/>
        </w:rPr>
        <w:t xml:space="preserve">  电磁器件应无异常响声。 </w:t>
      </w:r>
    </w:p>
    <w:p w14:paraId="69AEC26C">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6.2.1.1.5</w:t>
      </w:r>
      <w:r>
        <w:rPr>
          <w:rFonts w:hint="eastAsia" w:ascii="宋体" w:hAnsi="宋体" w:eastAsia="宋体" w:cs="宋体"/>
          <w:snapToGrid w:val="0"/>
          <w:color w:val="auto"/>
          <w:kern w:val="0"/>
          <w:sz w:val="21"/>
          <w:szCs w:val="21"/>
          <w:lang w:val="en-US" w:eastAsia="zh-CN" w:bidi="ar"/>
        </w:rPr>
        <w:t xml:space="preserve">  电器靠近高温物体时，应采取隔热、散热措施。 </w:t>
      </w:r>
    </w:p>
    <w:p w14:paraId="3E62F4A1">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6.2.1.1.6</w:t>
      </w:r>
      <w:r>
        <w:rPr>
          <w:rFonts w:hint="eastAsia" w:ascii="宋体" w:hAnsi="宋体" w:eastAsia="宋体" w:cs="宋体"/>
          <w:snapToGrid w:val="0"/>
          <w:color w:val="auto"/>
          <w:kern w:val="0"/>
          <w:sz w:val="21"/>
          <w:szCs w:val="21"/>
          <w:lang w:val="en-US" w:eastAsia="zh-CN" w:bidi="ar"/>
        </w:rPr>
        <w:t xml:space="preserve">  电器不应直接安装在可燃结构上，确需安装时，应采取阻燃或隔热措施。 </w:t>
      </w:r>
    </w:p>
    <w:p w14:paraId="062998C4">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6.2.1.1.7</w:t>
      </w:r>
      <w:r>
        <w:rPr>
          <w:rFonts w:hint="eastAsia" w:ascii="宋体" w:hAnsi="宋体" w:eastAsia="宋体" w:cs="宋体"/>
          <w:snapToGrid w:val="0"/>
          <w:color w:val="auto"/>
          <w:kern w:val="0"/>
          <w:sz w:val="21"/>
          <w:szCs w:val="21"/>
          <w:lang w:val="en-US" w:eastAsia="zh-CN" w:bidi="ar"/>
        </w:rPr>
        <w:t xml:space="preserve">  电器不应有火花放电现象。 </w:t>
      </w:r>
    </w:p>
    <w:p w14:paraId="167C2A9B">
      <w:pPr>
        <w:keepNext w:val="0"/>
        <w:keepLines w:val="0"/>
        <w:pageBreakBefore w:val="0"/>
        <w:widowControl/>
        <w:suppressLineNumbers w:val="0"/>
        <w:overflowPunct/>
        <w:topLinePunct w:val="0"/>
        <w:bidi w:val="0"/>
        <w:jc w:val="left"/>
        <w:rPr>
          <w:rFonts w:hint="default"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6.2.1.1.8  </w:t>
      </w:r>
      <w:r>
        <w:rPr>
          <w:rFonts w:hint="eastAsia" w:ascii="宋体" w:hAnsi="宋体" w:eastAsia="宋体" w:cs="宋体"/>
          <w:snapToGrid w:val="0"/>
          <w:color w:val="auto"/>
          <w:kern w:val="0"/>
          <w:sz w:val="21"/>
          <w:szCs w:val="21"/>
          <w:lang w:val="en-US" w:eastAsia="zh-CN" w:bidi="ar"/>
        </w:rPr>
        <w:t>低压配电与控制电器应安装在室内或专用配电房内</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如安装在室外时，应有防雨防潮、防小动物的有效措施，</w:t>
      </w:r>
      <w:r>
        <w:rPr>
          <w:rFonts w:hint="eastAsia" w:ascii="宋体" w:hAnsi="宋体" w:cs="宋体"/>
          <w:snapToGrid w:val="0"/>
          <w:color w:val="auto"/>
          <w:kern w:val="0"/>
          <w:sz w:val="21"/>
          <w:szCs w:val="21"/>
          <w:lang w:val="en-US" w:eastAsia="zh-CN" w:bidi="ar"/>
        </w:rPr>
        <w:t>外壳</w:t>
      </w:r>
      <w:r>
        <w:rPr>
          <w:rFonts w:hint="eastAsia" w:ascii="宋体" w:hAnsi="宋体" w:eastAsia="宋体" w:cs="宋体"/>
          <w:snapToGrid w:val="0"/>
          <w:color w:val="auto"/>
          <w:kern w:val="0"/>
          <w:sz w:val="21"/>
          <w:szCs w:val="21"/>
          <w:lang w:val="en-US" w:eastAsia="zh-CN" w:bidi="ar"/>
        </w:rPr>
        <w:t>防护等级不应低于IP54</w:t>
      </w:r>
      <w:r>
        <w:rPr>
          <w:rFonts w:hint="eastAsia" w:ascii="宋体" w:hAnsi="宋体" w:cs="宋体"/>
          <w:snapToGrid w:val="0"/>
          <w:color w:val="auto"/>
          <w:kern w:val="0"/>
          <w:sz w:val="21"/>
          <w:szCs w:val="21"/>
          <w:lang w:val="en-US" w:eastAsia="zh-CN" w:bidi="ar"/>
        </w:rPr>
        <w:t>。</w:t>
      </w:r>
    </w:p>
    <w:p w14:paraId="31881BFD">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9"/>
        <w:rPr>
          <w:rFonts w:hint="default" w:ascii="黑体" w:hAnsi="黑体" w:eastAsia="黑体" w:cs="黑体"/>
          <w:color w:val="auto"/>
          <w:spacing w:val="11"/>
          <w:sz w:val="21"/>
          <w:szCs w:val="21"/>
          <w:lang w:val="en-US" w:eastAsia="zh-CN"/>
        </w:rPr>
      </w:pPr>
      <w:r>
        <w:rPr>
          <w:rFonts w:hint="eastAsia" w:ascii="黑体" w:hAnsi="黑体" w:eastAsia="黑体" w:cs="黑体"/>
          <w:color w:val="auto"/>
          <w:spacing w:val="11"/>
          <w:sz w:val="21"/>
          <w:szCs w:val="21"/>
          <w:lang w:val="en-US" w:eastAsia="zh-CN"/>
        </w:rPr>
        <w:t>6.2.1.2  仪器检测</w:t>
      </w:r>
    </w:p>
    <w:p w14:paraId="63FA2088">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napToGrid w:val="0"/>
          <w:color w:val="auto"/>
          <w:kern w:val="0"/>
          <w:sz w:val="22"/>
          <w:szCs w:val="22"/>
          <w:lang w:val="en-US" w:eastAsia="zh-CN" w:bidi="ar"/>
        </w:rPr>
      </w:pPr>
      <w:r>
        <w:rPr>
          <w:rFonts w:hint="eastAsia" w:ascii="宋体" w:hAnsi="宋体" w:eastAsia="宋体" w:cs="宋体"/>
          <w:snapToGrid w:val="0"/>
          <w:color w:val="auto"/>
          <w:kern w:val="0"/>
          <w:sz w:val="21"/>
          <w:szCs w:val="21"/>
          <w:lang w:val="en-US" w:eastAsia="zh-CN" w:bidi="ar"/>
        </w:rPr>
        <w:t>电器接线端子、母线连接点及电缆终端头的温升不应超过表3、表4中规定的数值。</w:t>
      </w:r>
    </w:p>
    <w:p w14:paraId="00E419A8">
      <w:pPr>
        <w:pStyle w:val="301"/>
        <w:bidi w:val="0"/>
        <w:rPr>
          <w:rFonts w:hint="eastAsia"/>
          <w:color w:val="auto"/>
          <w:lang w:val="en-US" w:eastAsia="zh-CN"/>
        </w:rPr>
      </w:pPr>
      <w:bookmarkStart w:id="253" w:name="_Toc27541"/>
      <w:bookmarkStart w:id="254" w:name="_Toc15392"/>
      <w:bookmarkStart w:id="255" w:name="_Toc25028"/>
      <w:bookmarkStart w:id="256" w:name="_Toc21346"/>
      <w:bookmarkStart w:id="257" w:name="_Toc30794"/>
      <w:bookmarkStart w:id="258" w:name="_Toc14404"/>
      <w:bookmarkStart w:id="259" w:name="_Toc22935"/>
      <w:bookmarkStart w:id="260" w:name="_Toc9987"/>
      <w:bookmarkStart w:id="261" w:name="_Toc31842"/>
      <w:bookmarkStart w:id="262" w:name="_Toc3817"/>
      <w:r>
        <w:rPr>
          <w:rFonts w:hint="eastAsia"/>
          <w:color w:val="auto"/>
          <w:lang w:val="en-US" w:eastAsia="zh-CN"/>
        </w:rPr>
        <w:t>电力电缆最高允许温度和表面允许温升值</w:t>
      </w:r>
      <w:bookmarkEnd w:id="253"/>
      <w:bookmarkEnd w:id="254"/>
      <w:bookmarkEnd w:id="255"/>
      <w:bookmarkEnd w:id="256"/>
      <w:bookmarkEnd w:id="257"/>
      <w:bookmarkEnd w:id="258"/>
      <w:bookmarkEnd w:id="259"/>
      <w:bookmarkEnd w:id="260"/>
      <w:bookmarkEnd w:id="261"/>
      <w:bookmarkEnd w:id="262"/>
    </w:p>
    <w:tbl>
      <w:tblPr>
        <w:tblStyle w:val="88"/>
        <w:tblW w:w="95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46"/>
        <w:gridCol w:w="3989"/>
        <w:gridCol w:w="1516"/>
        <w:gridCol w:w="1516"/>
      </w:tblGrid>
      <w:tr w14:paraId="4E4C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2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A0F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电缆类型</w:t>
            </w:r>
          </w:p>
        </w:tc>
        <w:tc>
          <w:tcPr>
            <w:tcW w:w="3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9E2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缆芯长期允许温度</w:t>
            </w:r>
          </w:p>
          <w:p w14:paraId="40FA2D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C964A">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表面允许温升</w:t>
            </w:r>
          </w:p>
          <w:p w14:paraId="0733F281">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w:t>
            </w:r>
          </w:p>
        </w:tc>
      </w:tr>
      <w:tr w14:paraId="1506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2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8E0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u w:val="none"/>
              </w:rPr>
            </w:pPr>
          </w:p>
        </w:tc>
        <w:tc>
          <w:tcPr>
            <w:tcW w:w="3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9775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6A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带铠装</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F7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不带铠装</w:t>
            </w:r>
          </w:p>
        </w:tc>
      </w:tr>
      <w:tr w14:paraId="2DC0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25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485B7D">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聚氯乙烯绝缘电力电缆</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F24357">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70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199D34">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7CF323">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25</w:t>
            </w:r>
          </w:p>
        </w:tc>
      </w:tr>
      <w:tr w14:paraId="6B82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25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DC495D">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交联聚乙烯绝缘电力电缆</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2C006E">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90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B8B764">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40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0D3A97">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35</w:t>
            </w:r>
          </w:p>
        </w:tc>
      </w:tr>
    </w:tbl>
    <w:p w14:paraId="5BDFC4CC">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3"/>
        <w:rPr>
          <w:rFonts w:hint="eastAsia" w:ascii="黑体" w:hAnsi="黑体" w:eastAsia="黑体" w:cs="黑体"/>
          <w:color w:val="auto"/>
          <w:spacing w:val="11"/>
          <w:sz w:val="21"/>
          <w:szCs w:val="21"/>
          <w:lang w:val="en-US" w:eastAsia="zh-CN"/>
        </w:rPr>
      </w:pPr>
      <w:bookmarkStart w:id="263" w:name="_Toc24838"/>
      <w:r>
        <w:rPr>
          <w:rFonts w:hint="eastAsia" w:ascii="黑体" w:hAnsi="黑体" w:eastAsia="黑体" w:cs="黑体"/>
          <w:color w:val="auto"/>
          <w:spacing w:val="11"/>
          <w:sz w:val="21"/>
          <w:szCs w:val="21"/>
          <w:lang w:val="en-US" w:eastAsia="zh-CN"/>
        </w:rPr>
        <w:t>6.2.2  剩余电流动作保护装置</w:t>
      </w:r>
      <w:bookmarkEnd w:id="263"/>
    </w:p>
    <w:p w14:paraId="606EC373">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9"/>
        <w:rPr>
          <w:rFonts w:hint="eastAsia" w:ascii="黑体" w:hAnsi="黑体" w:eastAsia="黑体" w:cs="黑体"/>
          <w:color w:val="auto"/>
          <w:spacing w:val="11"/>
          <w:sz w:val="21"/>
          <w:szCs w:val="21"/>
          <w:lang w:val="en-US" w:eastAsia="zh-CN"/>
        </w:rPr>
      </w:pPr>
      <w:r>
        <w:rPr>
          <w:rFonts w:hint="eastAsia" w:ascii="黑体" w:hAnsi="黑体" w:eastAsia="黑体" w:cs="黑体"/>
          <w:color w:val="auto"/>
          <w:spacing w:val="11"/>
          <w:sz w:val="21"/>
          <w:szCs w:val="21"/>
          <w:lang w:val="en-US" w:eastAsia="zh-CN"/>
        </w:rPr>
        <w:t>6.2.2.1  直观检查</w:t>
      </w:r>
    </w:p>
    <w:p w14:paraId="27DF1E56">
      <w:pPr>
        <w:keepNext w:val="0"/>
        <w:keepLines w:val="0"/>
        <w:pageBreakBefore w:val="0"/>
        <w:widowControl/>
        <w:suppressLineNumbers w:val="0"/>
        <w:overflowPunct/>
        <w:topLinePunct w:val="0"/>
        <w:bidi w:val="0"/>
        <w:jc w:val="left"/>
        <w:rPr>
          <w:rFonts w:hint="eastAsia" w:ascii="宋体" w:hAnsi="宋体" w:eastAsia="宋体" w:cs="宋体"/>
          <w:color w:val="auto"/>
          <w:sz w:val="21"/>
          <w:szCs w:val="21"/>
        </w:rPr>
      </w:pPr>
      <w:r>
        <w:rPr>
          <w:rFonts w:hint="eastAsia" w:ascii="黑体" w:hAnsi="黑体" w:eastAsia="黑体" w:cs="黑体"/>
          <w:snapToGrid w:val="0"/>
          <w:color w:val="auto"/>
          <w:kern w:val="0"/>
          <w:sz w:val="21"/>
          <w:szCs w:val="21"/>
          <w:lang w:val="en-US" w:eastAsia="zh-CN" w:bidi="ar"/>
        </w:rPr>
        <w:t xml:space="preserve">6.2.2.1.1  </w:t>
      </w:r>
      <w:r>
        <w:rPr>
          <w:rFonts w:hint="eastAsia" w:ascii="宋体" w:hAnsi="宋体" w:eastAsia="宋体" w:cs="宋体"/>
          <w:snapToGrid w:val="0"/>
          <w:color w:val="auto"/>
          <w:kern w:val="0"/>
          <w:sz w:val="21"/>
          <w:szCs w:val="21"/>
          <w:lang w:val="en-US" w:eastAsia="zh-CN" w:bidi="ar"/>
        </w:rPr>
        <w:t>防止电气火灾的剩余电流</w:t>
      </w:r>
      <w:r>
        <w:rPr>
          <w:rFonts w:hint="eastAsia" w:ascii="宋体" w:hAnsi="宋体" w:cs="宋体"/>
          <w:snapToGrid w:val="0"/>
          <w:color w:val="auto"/>
          <w:kern w:val="0"/>
          <w:sz w:val="21"/>
          <w:szCs w:val="21"/>
          <w:lang w:val="en-US" w:eastAsia="zh-CN" w:bidi="ar"/>
        </w:rPr>
        <w:t>动作保护</w:t>
      </w:r>
      <w:r>
        <w:rPr>
          <w:rFonts w:hint="eastAsia" w:ascii="宋体" w:hAnsi="宋体" w:eastAsia="宋体" w:cs="宋体"/>
          <w:snapToGrid w:val="0"/>
          <w:color w:val="auto"/>
          <w:kern w:val="0"/>
          <w:sz w:val="21"/>
          <w:szCs w:val="21"/>
          <w:lang w:val="en-US" w:eastAsia="zh-CN" w:bidi="ar"/>
        </w:rPr>
        <w:t>装置的接线应符合下列规定</w:t>
      </w:r>
      <w:r>
        <w:rPr>
          <w:rFonts w:hint="eastAsia" w:ascii="宋体" w:hAnsi="宋体" w:cs="宋体"/>
          <w:snapToGrid w:val="0"/>
          <w:color w:val="auto"/>
          <w:kern w:val="0"/>
          <w:sz w:val="21"/>
          <w:szCs w:val="21"/>
          <w:lang w:val="en-US" w:eastAsia="zh-CN" w:bidi="ar"/>
        </w:rPr>
        <w:t>：</w:t>
      </w:r>
    </w:p>
    <w:p w14:paraId="6ACA2B5E">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剩余电流</w:t>
      </w:r>
      <w:r>
        <w:rPr>
          <w:rFonts w:hint="eastAsia" w:ascii="宋体" w:hAnsi="宋体" w:cs="宋体"/>
          <w:snapToGrid w:val="0"/>
          <w:color w:val="auto"/>
          <w:kern w:val="0"/>
          <w:sz w:val="21"/>
          <w:szCs w:val="21"/>
          <w:lang w:val="en-US" w:eastAsia="zh-CN" w:bidi="ar"/>
        </w:rPr>
        <w:t>动作保护</w:t>
      </w:r>
      <w:r>
        <w:rPr>
          <w:rFonts w:hint="eastAsia" w:ascii="宋体" w:hAnsi="宋体" w:eastAsia="宋体" w:cs="宋体"/>
          <w:snapToGrid w:val="0"/>
          <w:color w:val="auto"/>
          <w:kern w:val="0"/>
          <w:sz w:val="21"/>
          <w:szCs w:val="21"/>
          <w:lang w:val="en-US" w:eastAsia="zh-CN" w:bidi="ar"/>
        </w:rPr>
        <w:t>装置在不同的系统接地方式中应正确接线</w:t>
      </w:r>
      <w:r>
        <w:rPr>
          <w:rFonts w:hint="eastAsia" w:ascii="宋体" w:hAnsi="宋体" w:cs="宋体"/>
          <w:snapToGrid w:val="0"/>
          <w:color w:val="auto"/>
          <w:kern w:val="0"/>
          <w:sz w:val="21"/>
          <w:szCs w:val="21"/>
          <w:lang w:val="en-US" w:eastAsia="zh-CN" w:bidi="ar"/>
        </w:rPr>
        <w:t>；</w:t>
      </w:r>
    </w:p>
    <w:p w14:paraId="178023C8">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负荷侧的N线，只能作为中性线，不得与其他回路共用，且不能重复接地；</w:t>
      </w:r>
    </w:p>
    <w:p w14:paraId="62D7CF85">
      <w:pPr>
        <w:keepNext w:val="0"/>
        <w:keepLines w:val="0"/>
        <w:pageBreakBefore w:val="0"/>
        <w:widowControl/>
        <w:suppressLineNumbers w:val="0"/>
        <w:kinsoku w:val="0"/>
        <w:wordWrap/>
        <w:overflowPunct/>
        <w:topLinePunct w:val="0"/>
        <w:autoSpaceDE/>
        <w:autoSpaceDN/>
        <w:bidi w:val="0"/>
        <w:adjustRightInd w:val="0"/>
        <w:snapToGrid w:val="0"/>
        <w:ind w:left="840" w:leftChars="200" w:hanging="420" w:hanging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通过剩余电流</w:t>
      </w:r>
      <w:r>
        <w:rPr>
          <w:rFonts w:hint="eastAsia" w:ascii="宋体" w:hAnsi="宋体" w:cs="宋体"/>
          <w:snapToGrid w:val="0"/>
          <w:color w:val="auto"/>
          <w:kern w:val="0"/>
          <w:sz w:val="21"/>
          <w:szCs w:val="21"/>
          <w:lang w:val="en-US" w:eastAsia="zh-CN" w:bidi="ar"/>
        </w:rPr>
        <w:t>动作保护</w:t>
      </w:r>
      <w:r>
        <w:rPr>
          <w:rFonts w:hint="eastAsia" w:ascii="宋体" w:hAnsi="宋体" w:eastAsia="宋体" w:cs="宋体"/>
          <w:snapToGrid w:val="0"/>
          <w:color w:val="auto"/>
          <w:kern w:val="0"/>
          <w:sz w:val="21"/>
          <w:szCs w:val="21"/>
          <w:lang w:val="en-US" w:eastAsia="zh-CN" w:bidi="ar"/>
        </w:rPr>
        <w:t>装置的N线，不得作为PE线，不得重复接地或接设备外露可接近导体</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PE线不得接入剩余电流</w:t>
      </w:r>
      <w:r>
        <w:rPr>
          <w:rFonts w:hint="eastAsia" w:ascii="宋体" w:hAnsi="宋体" w:cs="宋体"/>
          <w:snapToGrid w:val="0"/>
          <w:color w:val="auto"/>
          <w:kern w:val="0"/>
          <w:sz w:val="21"/>
          <w:szCs w:val="21"/>
          <w:lang w:val="en-US" w:eastAsia="zh-CN" w:bidi="ar"/>
        </w:rPr>
        <w:t>动作保护</w:t>
      </w:r>
      <w:r>
        <w:rPr>
          <w:rFonts w:hint="eastAsia" w:ascii="宋体" w:hAnsi="宋体" w:eastAsia="宋体" w:cs="宋体"/>
          <w:snapToGrid w:val="0"/>
          <w:color w:val="auto"/>
          <w:kern w:val="0"/>
          <w:sz w:val="21"/>
          <w:szCs w:val="21"/>
          <w:lang w:val="en-US" w:eastAsia="zh-CN" w:bidi="ar"/>
        </w:rPr>
        <w:t>装置</w:t>
      </w:r>
      <w:r>
        <w:rPr>
          <w:rFonts w:hint="eastAsia" w:ascii="宋体" w:hAnsi="宋体" w:cs="宋体"/>
          <w:snapToGrid w:val="0"/>
          <w:color w:val="auto"/>
          <w:kern w:val="0"/>
          <w:sz w:val="21"/>
          <w:szCs w:val="21"/>
          <w:lang w:val="en-US" w:eastAsia="zh-CN" w:bidi="ar"/>
        </w:rPr>
        <w:t>。</w:t>
      </w:r>
    </w:p>
    <w:p w14:paraId="48E62F7C">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6.2.2.1.2</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剩余电流</w:t>
      </w:r>
      <w:r>
        <w:rPr>
          <w:rFonts w:hint="eastAsia" w:ascii="宋体" w:hAnsi="宋体" w:cs="宋体"/>
          <w:snapToGrid w:val="0"/>
          <w:color w:val="auto"/>
          <w:kern w:val="0"/>
          <w:sz w:val="21"/>
          <w:szCs w:val="21"/>
          <w:lang w:val="en-US" w:eastAsia="zh-CN" w:bidi="ar"/>
        </w:rPr>
        <w:t>动作保护</w:t>
      </w:r>
      <w:r>
        <w:rPr>
          <w:rFonts w:hint="eastAsia" w:ascii="宋体" w:hAnsi="宋体" w:eastAsia="宋体" w:cs="宋体"/>
          <w:snapToGrid w:val="0"/>
          <w:color w:val="auto"/>
          <w:kern w:val="0"/>
          <w:sz w:val="21"/>
          <w:szCs w:val="21"/>
          <w:lang w:val="en-US" w:eastAsia="zh-CN" w:bidi="ar"/>
        </w:rPr>
        <w:t>装置表面无腐蚀、涂层脱落和起泡现象，无明显的机械损伤。</w:t>
      </w:r>
    </w:p>
    <w:p w14:paraId="7E4CC27D">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9"/>
        <w:rPr>
          <w:rFonts w:hint="default" w:ascii="黑体" w:hAnsi="黑体" w:eastAsia="黑体" w:cs="黑体"/>
          <w:color w:val="auto"/>
          <w:spacing w:val="11"/>
          <w:sz w:val="21"/>
          <w:szCs w:val="21"/>
          <w:lang w:val="en-US" w:eastAsia="zh-CN"/>
        </w:rPr>
      </w:pPr>
      <w:r>
        <w:rPr>
          <w:rFonts w:hint="eastAsia" w:ascii="黑体" w:hAnsi="黑体" w:eastAsia="黑体" w:cs="黑体"/>
          <w:color w:val="auto"/>
          <w:spacing w:val="11"/>
          <w:sz w:val="21"/>
          <w:szCs w:val="21"/>
          <w:lang w:val="en-US" w:eastAsia="zh-CN"/>
        </w:rPr>
        <w:t>6.2.2.2  仪器检测</w:t>
      </w:r>
    </w:p>
    <w:p w14:paraId="1EEF955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6.2.2.2.1  </w:t>
      </w:r>
      <w:r>
        <w:rPr>
          <w:rFonts w:hint="eastAsia" w:ascii="宋体" w:hAnsi="宋体" w:eastAsia="宋体" w:cs="宋体"/>
          <w:snapToGrid w:val="0"/>
          <w:color w:val="auto"/>
          <w:kern w:val="0"/>
          <w:sz w:val="21"/>
          <w:szCs w:val="21"/>
          <w:lang w:val="en-US" w:eastAsia="zh-CN" w:bidi="ar"/>
        </w:rPr>
        <w:t>剩余电流</w:t>
      </w:r>
      <w:r>
        <w:rPr>
          <w:rFonts w:hint="eastAsia" w:ascii="宋体" w:hAnsi="宋体" w:cs="宋体"/>
          <w:snapToGrid w:val="0"/>
          <w:color w:val="auto"/>
          <w:kern w:val="0"/>
          <w:sz w:val="21"/>
          <w:szCs w:val="21"/>
          <w:lang w:val="en-US" w:eastAsia="zh-CN" w:bidi="ar"/>
        </w:rPr>
        <w:t>动作保护</w:t>
      </w:r>
      <w:r>
        <w:rPr>
          <w:rFonts w:hint="eastAsia" w:ascii="宋体" w:hAnsi="宋体" w:eastAsia="宋体" w:cs="宋体"/>
          <w:snapToGrid w:val="0"/>
          <w:color w:val="auto"/>
          <w:kern w:val="0"/>
          <w:sz w:val="21"/>
          <w:szCs w:val="21"/>
          <w:lang w:val="en-US" w:eastAsia="zh-CN" w:bidi="ar"/>
        </w:rPr>
        <w:t>装置连接外部导体的接线端子温升不应超过表3规定。</w:t>
      </w:r>
    </w:p>
    <w:p w14:paraId="32BBC95E">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6.2.2.2.2</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剩余电流</w:t>
      </w:r>
      <w:r>
        <w:rPr>
          <w:rFonts w:hint="eastAsia" w:ascii="宋体" w:hAnsi="宋体" w:cs="宋体"/>
          <w:snapToGrid w:val="0"/>
          <w:color w:val="auto"/>
          <w:kern w:val="0"/>
          <w:sz w:val="21"/>
          <w:szCs w:val="21"/>
          <w:lang w:val="en-US" w:eastAsia="zh-CN" w:bidi="ar"/>
        </w:rPr>
        <w:t>动作保护</w:t>
      </w:r>
      <w:r>
        <w:rPr>
          <w:rFonts w:hint="eastAsia" w:ascii="宋体" w:hAnsi="宋体" w:eastAsia="宋体" w:cs="宋体"/>
          <w:snapToGrid w:val="0"/>
          <w:color w:val="auto"/>
          <w:kern w:val="0"/>
          <w:sz w:val="21"/>
          <w:szCs w:val="21"/>
          <w:lang w:val="en-US" w:eastAsia="zh-CN" w:bidi="ar"/>
        </w:rPr>
        <w:t>装置应验证在剩余电流条件下动作特性符合产品标准要求。</w:t>
      </w:r>
    </w:p>
    <w:p w14:paraId="6E2742AF">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157" w:beforeLines="50" w:after="157" w:afterLines="50" w:line="240" w:lineRule="auto"/>
        <w:ind w:left="0"/>
        <w:textAlignment w:val="baseline"/>
        <w:outlineLvl w:val="3"/>
        <w:rPr>
          <w:rFonts w:hint="eastAsia" w:ascii="黑体" w:hAnsi="黑体" w:eastAsia="黑体" w:cs="黑体"/>
          <w:color w:val="auto"/>
          <w:spacing w:val="11"/>
          <w:sz w:val="21"/>
          <w:szCs w:val="21"/>
          <w:lang w:val="en-US" w:eastAsia="zh-CN"/>
        </w:rPr>
      </w:pPr>
      <w:bookmarkStart w:id="264" w:name="_Toc32492"/>
      <w:r>
        <w:rPr>
          <w:rFonts w:hint="eastAsia" w:ascii="黑体" w:hAnsi="黑体" w:eastAsia="黑体" w:cs="黑体"/>
          <w:color w:val="auto"/>
          <w:spacing w:val="11"/>
          <w:sz w:val="21"/>
          <w:szCs w:val="21"/>
          <w:lang w:val="en-US" w:eastAsia="zh-CN"/>
        </w:rPr>
        <w:t>6.2.3  低压配电柜</w:t>
      </w:r>
      <w:bookmarkEnd w:id="264"/>
      <w:r>
        <w:rPr>
          <w:rFonts w:hint="eastAsia" w:ascii="黑体" w:hAnsi="黑体" w:eastAsia="黑体" w:cs="黑体"/>
          <w:color w:val="auto"/>
          <w:spacing w:val="11"/>
          <w:sz w:val="21"/>
          <w:szCs w:val="21"/>
          <w:lang w:val="en-US" w:eastAsia="zh-CN"/>
        </w:rPr>
        <w:t>（屏、台、箱、盘）</w:t>
      </w:r>
    </w:p>
    <w:p w14:paraId="0EA0EB67">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9"/>
        <w:rPr>
          <w:rFonts w:hint="eastAsia" w:ascii="宋体" w:hAnsi="宋体" w:eastAsia="宋体" w:cs="宋体"/>
          <w:color w:val="auto"/>
          <w:spacing w:val="11"/>
          <w:sz w:val="22"/>
          <w:szCs w:val="22"/>
          <w:lang w:val="en-US" w:eastAsia="zh-CN"/>
        </w:rPr>
      </w:pPr>
      <w:r>
        <w:rPr>
          <w:rFonts w:hint="eastAsia" w:ascii="黑体" w:hAnsi="黑体" w:eastAsia="黑体" w:cs="黑体"/>
          <w:color w:val="auto"/>
          <w:spacing w:val="11"/>
          <w:sz w:val="21"/>
          <w:szCs w:val="21"/>
          <w:lang w:val="en-US" w:eastAsia="zh-CN"/>
        </w:rPr>
        <w:t>6.2.3.1  直观检查</w:t>
      </w:r>
    </w:p>
    <w:p w14:paraId="4B254A85">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6.2.3.1.1</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配电柜（屏、台、箱、盘）内各分立电器应符合本标准</w:t>
      </w:r>
      <w:r>
        <w:rPr>
          <w:rFonts w:hint="eastAsia" w:ascii="宋体" w:hAnsi="宋体" w:cs="宋体"/>
          <w:snapToGrid w:val="0"/>
          <w:color w:val="auto"/>
          <w:kern w:val="0"/>
          <w:sz w:val="21"/>
          <w:szCs w:val="21"/>
          <w:lang w:val="en-US" w:eastAsia="zh-CN" w:bidi="ar"/>
        </w:rPr>
        <w:t>6</w:t>
      </w:r>
      <w:r>
        <w:rPr>
          <w:rFonts w:hint="eastAsia" w:ascii="宋体" w:hAnsi="宋体" w:eastAsia="宋体" w:cs="宋体"/>
          <w:snapToGrid w:val="0"/>
          <w:color w:val="auto"/>
          <w:kern w:val="0"/>
          <w:sz w:val="21"/>
          <w:szCs w:val="21"/>
          <w:lang w:val="en-US" w:eastAsia="zh-CN" w:bidi="ar"/>
        </w:rPr>
        <w:t xml:space="preserve">.2.1中的有关规定。 </w:t>
      </w:r>
    </w:p>
    <w:p w14:paraId="07409652">
      <w:pPr>
        <w:keepNext w:val="0"/>
        <w:keepLines w:val="0"/>
        <w:pageBreakBefore w:val="0"/>
        <w:widowControl/>
        <w:suppressLineNumbers w:val="0"/>
        <w:overflowPunct/>
        <w:topLinePunct w:val="0"/>
        <w:bidi w:val="0"/>
        <w:jc w:val="left"/>
        <w:rPr>
          <w:rFonts w:hint="eastAsia" w:ascii="宋体" w:hAnsi="宋体" w:eastAsia="宋体" w:cs="宋体"/>
          <w:color w:val="auto"/>
          <w:sz w:val="21"/>
          <w:szCs w:val="21"/>
        </w:rPr>
      </w:pPr>
      <w:r>
        <w:rPr>
          <w:rFonts w:hint="eastAsia" w:ascii="黑体" w:hAnsi="黑体" w:eastAsia="黑体" w:cs="黑体"/>
          <w:snapToGrid w:val="0"/>
          <w:color w:val="auto"/>
          <w:kern w:val="0"/>
          <w:sz w:val="21"/>
          <w:szCs w:val="21"/>
          <w:lang w:val="en-US" w:eastAsia="zh-CN" w:bidi="ar"/>
        </w:rPr>
        <w:t>6.2.3.1.2</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配电柜（屏、台、箱、盘）应作如下检查</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 </w:t>
      </w:r>
    </w:p>
    <w:p w14:paraId="4A72EBFA">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color w:val="auto"/>
          <w:sz w:val="21"/>
          <w:szCs w:val="21"/>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配电柜（屏、台、箱、盘）周围不应堆放杂物</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 </w:t>
      </w:r>
    </w:p>
    <w:p w14:paraId="42DBFDB3">
      <w:pPr>
        <w:keepNext w:val="0"/>
        <w:keepLines w:val="0"/>
        <w:pageBreakBefore w:val="0"/>
        <w:widowControl/>
        <w:suppressLineNumbers w:val="0"/>
        <w:kinsoku w:val="0"/>
        <w:wordWrap/>
        <w:overflowPunct/>
        <w:topLinePunct w:val="0"/>
        <w:autoSpaceDE/>
        <w:autoSpaceDN/>
        <w:bidi w:val="0"/>
        <w:adjustRightInd w:val="0"/>
        <w:snapToGrid w:val="0"/>
        <w:ind w:firstLine="420" w:firstLineChars="200"/>
        <w:jc w:val="left"/>
        <w:textAlignment w:val="baseline"/>
        <w:rPr>
          <w:rFonts w:hint="eastAsia" w:ascii="宋体" w:hAnsi="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配电柜（屏、台、箱、盘）的导线不应有接头，芯线应无损伤</w:t>
      </w:r>
      <w:r>
        <w:rPr>
          <w:rFonts w:hint="eastAsia" w:ascii="宋体" w:hAnsi="宋体" w:cs="宋体"/>
          <w:snapToGrid w:val="0"/>
          <w:color w:val="auto"/>
          <w:kern w:val="0"/>
          <w:sz w:val="21"/>
          <w:szCs w:val="21"/>
          <w:lang w:val="en-US" w:eastAsia="zh-CN" w:bidi="ar"/>
        </w:rPr>
        <w:t>；</w:t>
      </w:r>
    </w:p>
    <w:p w14:paraId="08F959E7">
      <w:pPr>
        <w:keepNext w:val="0"/>
        <w:keepLines w:val="0"/>
        <w:pageBreakBefore w:val="0"/>
        <w:widowControl/>
        <w:suppressLineNumbers w:val="0"/>
        <w:kinsoku w:val="0"/>
        <w:wordWrap/>
        <w:overflowPunct/>
        <w:topLinePunct w:val="0"/>
        <w:autoSpaceDE/>
        <w:autoSpaceDN/>
        <w:bidi w:val="0"/>
        <w:adjustRightInd w:val="0"/>
        <w:snapToGrid w:val="0"/>
        <w:ind w:firstLine="420" w:firstLineChars="200"/>
        <w:jc w:val="left"/>
        <w:textAlignment w:val="baseline"/>
        <w:rPr>
          <w:rFonts w:hint="eastAsia" w:ascii="宋体" w:hAnsi="宋体" w:eastAsia="宋体" w:cs="宋体"/>
          <w:color w:val="auto"/>
          <w:sz w:val="21"/>
          <w:szCs w:val="21"/>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建筑内部的配电箱（盘）不应直接安装在低于</w:t>
      </w:r>
      <w:r>
        <w:rPr>
          <w:rFonts w:hint="eastAsia" w:ascii="宋体" w:hAnsi="宋体" w:cs="宋体"/>
          <w:b w:val="0"/>
          <w:bCs w:val="0"/>
          <w:snapToGrid w:val="0"/>
          <w:color w:val="auto"/>
          <w:kern w:val="0"/>
          <w:sz w:val="21"/>
          <w:szCs w:val="21"/>
          <w:lang w:val="en-US" w:eastAsia="zh-CN" w:bidi="ar"/>
        </w:rPr>
        <w:t>B</w:t>
      </w:r>
      <w:r>
        <w:rPr>
          <w:rFonts w:hint="eastAsia" w:ascii="宋体" w:hAnsi="宋体" w:cs="宋体"/>
          <w:b w:val="0"/>
          <w:bCs w:val="0"/>
          <w:snapToGrid w:val="0"/>
          <w:color w:val="auto"/>
          <w:kern w:val="0"/>
          <w:sz w:val="21"/>
          <w:szCs w:val="21"/>
          <w:vertAlign w:val="subscript"/>
          <w:lang w:val="en-US" w:eastAsia="zh-CN" w:bidi="ar"/>
        </w:rPr>
        <w:t>1</w:t>
      </w:r>
      <w:r>
        <w:rPr>
          <w:rFonts w:hint="eastAsia" w:ascii="宋体" w:hAnsi="宋体" w:eastAsia="宋体" w:cs="宋体"/>
          <w:snapToGrid w:val="0"/>
          <w:color w:val="auto"/>
          <w:kern w:val="0"/>
          <w:sz w:val="21"/>
          <w:szCs w:val="21"/>
          <w:lang w:val="en-US" w:eastAsia="zh-CN" w:bidi="ar"/>
        </w:rPr>
        <w:t>级的装修材料上</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 </w:t>
      </w:r>
    </w:p>
    <w:p w14:paraId="27022EC2">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d)</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导线进出配电柜（屏、台、箱、盘）孔处，进出线孔应光滑无刺，并应装设绝缘护套</w:t>
      </w:r>
      <w:r>
        <w:rPr>
          <w:rFonts w:hint="eastAsia" w:ascii="宋体" w:hAnsi="宋体" w:cs="宋体"/>
          <w:snapToGrid w:val="0"/>
          <w:color w:val="auto"/>
          <w:kern w:val="0"/>
          <w:sz w:val="21"/>
          <w:szCs w:val="21"/>
          <w:lang w:val="en-US" w:eastAsia="zh-CN" w:bidi="ar"/>
        </w:rPr>
        <w:t>；</w:t>
      </w:r>
    </w:p>
    <w:p w14:paraId="45A62357">
      <w:pPr>
        <w:keepNext w:val="0"/>
        <w:keepLines w:val="0"/>
        <w:pageBreakBefore w:val="0"/>
        <w:widowControl/>
        <w:suppressLineNumbers w:val="0"/>
        <w:kinsoku w:val="0"/>
        <w:wordWrap/>
        <w:overflowPunct/>
        <w:topLinePunct w:val="0"/>
        <w:autoSpaceDE/>
        <w:autoSpaceDN/>
        <w:bidi w:val="0"/>
        <w:adjustRightInd w:val="0"/>
        <w:snapToGrid w:val="0"/>
        <w:ind w:left="840" w:leftChars="200" w:hanging="420" w:hanging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e)</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配电柜（屏、台、箱、盘）的接地应符合GB 50171</w:t>
      </w:r>
      <w:r>
        <w:rPr>
          <w:rFonts w:hint="eastAsia" w:ascii="宋体" w:hAnsi="宋体" w:cs="宋体"/>
          <w:snapToGrid w:val="0"/>
          <w:color w:val="auto"/>
          <w:kern w:val="0"/>
          <w:sz w:val="21"/>
          <w:szCs w:val="21"/>
          <w:lang w:val="en-US" w:eastAsia="zh-CN" w:bidi="ar"/>
        </w:rPr>
        <w:t>中第7章对盘、柜接地</w:t>
      </w:r>
      <w:r>
        <w:rPr>
          <w:rFonts w:hint="eastAsia" w:ascii="宋体" w:hAnsi="宋体" w:eastAsia="宋体" w:cs="宋体"/>
          <w:snapToGrid w:val="0"/>
          <w:color w:val="auto"/>
          <w:kern w:val="0"/>
          <w:sz w:val="21"/>
          <w:szCs w:val="21"/>
          <w:lang w:val="en-US" w:eastAsia="zh-CN" w:bidi="ar"/>
        </w:rPr>
        <w:t>的</w:t>
      </w:r>
      <w:r>
        <w:rPr>
          <w:rFonts w:hint="eastAsia" w:ascii="宋体" w:hAnsi="宋体" w:cs="宋体"/>
          <w:snapToGrid w:val="0"/>
          <w:color w:val="auto"/>
          <w:kern w:val="0"/>
          <w:sz w:val="21"/>
          <w:szCs w:val="21"/>
          <w:lang w:val="en-US" w:eastAsia="zh-CN" w:bidi="ar"/>
        </w:rPr>
        <w:t>相应</w:t>
      </w:r>
      <w:r>
        <w:rPr>
          <w:rFonts w:hint="eastAsia" w:ascii="宋体" w:hAnsi="宋体" w:eastAsia="宋体" w:cs="宋体"/>
          <w:snapToGrid w:val="0"/>
          <w:color w:val="auto"/>
          <w:kern w:val="0"/>
          <w:sz w:val="21"/>
          <w:szCs w:val="21"/>
          <w:lang w:val="en-US" w:eastAsia="zh-CN" w:bidi="ar"/>
        </w:rPr>
        <w:t xml:space="preserve">规定。 </w:t>
      </w:r>
    </w:p>
    <w:p w14:paraId="0F16DB98">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6.2.3.1.3  </w:t>
      </w:r>
      <w:r>
        <w:rPr>
          <w:rFonts w:hint="eastAsia" w:ascii="宋体" w:hAnsi="宋体" w:eastAsia="宋体" w:cs="宋体"/>
          <w:snapToGrid w:val="0"/>
          <w:color w:val="auto"/>
          <w:kern w:val="0"/>
          <w:sz w:val="21"/>
          <w:szCs w:val="21"/>
          <w:lang w:val="en-US" w:eastAsia="zh-CN" w:bidi="ar"/>
        </w:rPr>
        <w:t xml:space="preserve">储存可燃物的库房及类似场所的电源开关箱应当设在库外，并有防雨防潮的保护措施。 </w:t>
      </w:r>
    </w:p>
    <w:p w14:paraId="1CEA4AFF">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9"/>
        <w:rPr>
          <w:rFonts w:hint="eastAsia" w:ascii="宋体" w:hAnsi="宋体" w:eastAsia="宋体" w:cs="宋体"/>
          <w:snapToGrid w:val="0"/>
          <w:color w:val="auto"/>
          <w:kern w:val="0"/>
          <w:sz w:val="22"/>
          <w:szCs w:val="22"/>
          <w:lang w:val="en-US" w:eastAsia="zh-CN" w:bidi="ar"/>
        </w:rPr>
      </w:pPr>
      <w:r>
        <w:rPr>
          <w:rFonts w:hint="eastAsia" w:ascii="黑体" w:hAnsi="黑体" w:eastAsia="黑体" w:cs="黑体"/>
          <w:color w:val="auto"/>
          <w:spacing w:val="11"/>
          <w:sz w:val="21"/>
          <w:szCs w:val="21"/>
          <w:lang w:val="en-US" w:eastAsia="zh-CN"/>
        </w:rPr>
        <w:t>6.2.3.2  仪器检测</w:t>
      </w:r>
    </w:p>
    <w:p w14:paraId="73C8ED5D">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6.2.3.2.1</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配电柜（屏、台、箱、盘）内母线的连接点、分支接点、接线端子的温升不应超过表3和表4中的数值。 </w:t>
      </w:r>
    </w:p>
    <w:p w14:paraId="4DC183AC">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6.2.3.2.2</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配电柜（屏、台、箱、盘）内线间和线对地间的绝缘电阻值应符合GB 50303</w:t>
      </w:r>
      <w:r>
        <w:rPr>
          <w:rFonts w:hint="eastAsia" w:ascii="宋体" w:hAnsi="宋体" w:cs="宋体"/>
          <w:snapToGrid w:val="0"/>
          <w:color w:val="auto"/>
          <w:kern w:val="0"/>
          <w:sz w:val="21"/>
          <w:szCs w:val="21"/>
          <w:lang w:val="en-US" w:eastAsia="zh-CN" w:bidi="ar"/>
        </w:rPr>
        <w:t>中第5章对线路绝缘测试</w:t>
      </w:r>
      <w:r>
        <w:rPr>
          <w:rFonts w:hint="eastAsia" w:ascii="宋体" w:hAnsi="宋体" w:eastAsia="宋体" w:cs="宋体"/>
          <w:snapToGrid w:val="0"/>
          <w:color w:val="auto"/>
          <w:kern w:val="0"/>
          <w:sz w:val="21"/>
          <w:szCs w:val="21"/>
          <w:lang w:val="en-US" w:eastAsia="zh-CN" w:bidi="ar"/>
        </w:rPr>
        <w:t>的</w:t>
      </w:r>
      <w:r>
        <w:rPr>
          <w:rFonts w:hint="eastAsia" w:ascii="宋体" w:hAnsi="宋体" w:cs="宋体"/>
          <w:snapToGrid w:val="0"/>
          <w:color w:val="auto"/>
          <w:kern w:val="0"/>
          <w:sz w:val="21"/>
          <w:szCs w:val="21"/>
          <w:lang w:val="en-US" w:eastAsia="zh-CN" w:bidi="ar"/>
        </w:rPr>
        <w:t>相应</w:t>
      </w:r>
      <w:r>
        <w:rPr>
          <w:rFonts w:hint="eastAsia" w:ascii="宋体" w:hAnsi="宋体" w:eastAsia="宋体" w:cs="宋体"/>
          <w:snapToGrid w:val="0"/>
          <w:color w:val="auto"/>
          <w:kern w:val="0"/>
          <w:sz w:val="21"/>
          <w:szCs w:val="21"/>
          <w:lang w:val="en-US" w:eastAsia="zh-CN" w:bidi="ar"/>
        </w:rPr>
        <w:t xml:space="preserve">规定。 </w:t>
      </w:r>
    </w:p>
    <w:p w14:paraId="5E23486E">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hint="eastAsia" w:ascii="黑体" w:hAnsi="黑体" w:eastAsia="黑体" w:cs="黑体"/>
          <w:color w:val="auto"/>
          <w:spacing w:val="11"/>
          <w:sz w:val="21"/>
          <w:szCs w:val="21"/>
          <w:lang w:val="en-US" w:eastAsia="zh-CN"/>
        </w:rPr>
      </w:pPr>
      <w:bookmarkStart w:id="265" w:name="_Toc11143"/>
      <w:bookmarkStart w:id="266" w:name="_Toc13729"/>
      <w:bookmarkStart w:id="267" w:name="_Toc909"/>
      <w:bookmarkStart w:id="268" w:name="_Toc25245"/>
      <w:bookmarkStart w:id="269" w:name="_Toc25452"/>
      <w:bookmarkStart w:id="270" w:name="_Toc17353"/>
      <w:bookmarkStart w:id="271" w:name="_Toc17704"/>
      <w:bookmarkStart w:id="272" w:name="_Toc15276"/>
      <w:bookmarkStart w:id="273" w:name="_Toc23072"/>
      <w:bookmarkStart w:id="274" w:name="_Toc7722"/>
      <w:bookmarkStart w:id="275" w:name="_Toc22362"/>
      <w:bookmarkStart w:id="276" w:name="_Toc24446"/>
      <w:bookmarkStart w:id="277" w:name="_Toc27081"/>
      <w:bookmarkStart w:id="278" w:name="_Toc26316"/>
      <w:bookmarkStart w:id="279" w:name="_Toc11218"/>
      <w:bookmarkStart w:id="280" w:name="_Toc21118"/>
      <w:bookmarkStart w:id="281" w:name="_Toc2186"/>
      <w:bookmarkStart w:id="282" w:name="_Toc4731"/>
      <w:bookmarkStart w:id="283" w:name="_Toc13878"/>
      <w:bookmarkStart w:id="284" w:name="_Toc2609"/>
      <w:bookmarkStart w:id="285" w:name="_Toc6087"/>
      <w:bookmarkStart w:id="286" w:name="_Toc11036"/>
      <w:bookmarkStart w:id="287" w:name="_Toc2211"/>
      <w:bookmarkStart w:id="288" w:name="_Toc3297"/>
      <w:r>
        <w:rPr>
          <w:rFonts w:hint="eastAsia" w:ascii="黑体" w:hAnsi="黑体" w:eastAsia="黑体" w:cs="黑体"/>
          <w:snapToGrid w:val="0"/>
          <w:color w:val="auto"/>
          <w:kern w:val="0"/>
          <w:sz w:val="21"/>
          <w:szCs w:val="21"/>
          <w:lang w:val="en-US" w:eastAsia="zh-CN" w:bidi="ar"/>
        </w:rPr>
        <w:t>6.3</w:t>
      </w:r>
      <w:r>
        <w:rPr>
          <w:rFonts w:hint="eastAsia" w:ascii="黑体" w:hAnsi="黑体" w:eastAsia="黑体" w:cs="黑体"/>
          <w:color w:val="auto"/>
          <w:spacing w:val="11"/>
          <w:sz w:val="21"/>
          <w:szCs w:val="21"/>
          <w:lang w:val="en-US" w:eastAsia="zh-CN"/>
        </w:rPr>
        <w:t xml:space="preserve">  低压配电线路</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1BF04BA4">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3"/>
        <w:rPr>
          <w:rFonts w:hint="eastAsia" w:ascii="黑体" w:hAnsi="黑体" w:eastAsia="黑体" w:cs="黑体"/>
          <w:color w:val="auto"/>
          <w:spacing w:val="11"/>
          <w:sz w:val="21"/>
          <w:szCs w:val="21"/>
          <w:lang w:val="en-US" w:eastAsia="zh-CN"/>
        </w:rPr>
      </w:pPr>
      <w:bookmarkStart w:id="289" w:name="_Toc11969"/>
      <w:r>
        <w:rPr>
          <w:rFonts w:hint="eastAsia" w:ascii="黑体" w:hAnsi="黑体" w:eastAsia="黑体" w:cs="黑体"/>
          <w:color w:val="auto"/>
          <w:spacing w:val="11"/>
          <w:sz w:val="21"/>
          <w:szCs w:val="21"/>
          <w:lang w:val="en-US" w:eastAsia="zh-CN"/>
        </w:rPr>
        <w:t>6.3.1  电线和电缆</w:t>
      </w:r>
      <w:bookmarkEnd w:id="289"/>
    </w:p>
    <w:p w14:paraId="1304C81B">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9"/>
        <w:rPr>
          <w:rFonts w:hint="eastAsia" w:ascii="黑体" w:hAnsi="黑体" w:eastAsia="黑体" w:cs="黑体"/>
          <w:color w:val="auto"/>
          <w:spacing w:val="11"/>
          <w:sz w:val="21"/>
          <w:szCs w:val="21"/>
          <w:lang w:val="en-US" w:eastAsia="zh-CN"/>
        </w:rPr>
      </w:pPr>
      <w:r>
        <w:rPr>
          <w:rFonts w:hint="eastAsia" w:ascii="黑体" w:hAnsi="黑体" w:eastAsia="黑体" w:cs="黑体"/>
          <w:color w:val="auto"/>
          <w:spacing w:val="11"/>
          <w:sz w:val="21"/>
          <w:szCs w:val="21"/>
          <w:lang w:val="en-US" w:eastAsia="zh-CN"/>
        </w:rPr>
        <w:t>6.3.1.1  直观检查</w:t>
      </w:r>
    </w:p>
    <w:p w14:paraId="7F9C4590">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6.3.1.1.1</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电线、电缆的选型应符合国家现行技术标准</w:t>
      </w:r>
      <w:r>
        <w:rPr>
          <w:rFonts w:hint="eastAsia" w:ascii="宋体" w:hAnsi="宋体" w:cs="宋体"/>
          <w:snapToGrid w:val="0"/>
          <w:color w:val="auto"/>
          <w:kern w:val="0"/>
          <w:sz w:val="21"/>
          <w:szCs w:val="21"/>
          <w:lang w:val="en-US" w:eastAsia="zh-CN" w:bidi="ar"/>
        </w:rPr>
        <w:t>和本地区地方标准</w:t>
      </w:r>
      <w:r>
        <w:rPr>
          <w:rFonts w:hint="eastAsia" w:ascii="宋体" w:hAnsi="宋体" w:eastAsia="宋体" w:cs="宋体"/>
          <w:snapToGrid w:val="0"/>
          <w:color w:val="auto"/>
          <w:kern w:val="0"/>
          <w:sz w:val="21"/>
          <w:szCs w:val="21"/>
          <w:lang w:val="en-US" w:eastAsia="zh-CN" w:bidi="ar"/>
        </w:rPr>
        <w:t>的规定。</w:t>
      </w:r>
    </w:p>
    <w:p w14:paraId="617A8590">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6.3.1.1.2</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电线、电缆通过易受机械损伤、过热、腐蚀等危害的地段时，应采取相应的保护措施。 </w:t>
      </w:r>
    </w:p>
    <w:p w14:paraId="440D2647">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6.3.1.1.3</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终端和中间接头的接头连接应牢固可靠，绝缘良好。 </w:t>
      </w:r>
    </w:p>
    <w:p w14:paraId="65D5BE27">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6.3.1.1.4  </w:t>
      </w:r>
      <w:r>
        <w:rPr>
          <w:rFonts w:hint="eastAsia" w:ascii="宋体" w:hAnsi="宋体" w:eastAsia="宋体" w:cs="宋体"/>
          <w:snapToGrid w:val="0"/>
          <w:color w:val="auto"/>
          <w:kern w:val="0"/>
          <w:sz w:val="21"/>
          <w:szCs w:val="21"/>
          <w:lang w:val="en-US" w:eastAsia="zh-CN" w:bidi="ar"/>
        </w:rPr>
        <w:t>电线、电缆绝缘层不应有机械损伤痕迹、变色、脆裂、炭化现象。</w:t>
      </w:r>
    </w:p>
    <w:p w14:paraId="4EEB6CB9">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9"/>
        <w:rPr>
          <w:rFonts w:hint="default" w:ascii="黑体" w:hAnsi="黑体" w:eastAsia="黑体" w:cs="黑体"/>
          <w:color w:val="auto"/>
          <w:spacing w:val="11"/>
          <w:sz w:val="21"/>
          <w:szCs w:val="21"/>
          <w:lang w:val="en-US" w:eastAsia="zh-CN"/>
        </w:rPr>
      </w:pPr>
      <w:r>
        <w:rPr>
          <w:rFonts w:hint="eastAsia" w:ascii="黑体" w:hAnsi="黑体" w:eastAsia="黑体" w:cs="黑体"/>
          <w:color w:val="auto"/>
          <w:spacing w:val="11"/>
          <w:sz w:val="21"/>
          <w:szCs w:val="21"/>
          <w:lang w:val="en-US" w:eastAsia="zh-CN"/>
        </w:rPr>
        <w:t>6.3.1.2  仪器检测</w:t>
      </w:r>
    </w:p>
    <w:p w14:paraId="14BD9F65">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6.3.1.2.1</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电线、电缆相与相以及相对地之间的绝缘电阻值不应</w:t>
      </w:r>
      <w:r>
        <w:rPr>
          <w:rFonts w:hint="eastAsia" w:ascii="宋体" w:hAnsi="宋体" w:cs="宋体"/>
          <w:snapToGrid w:val="0"/>
          <w:color w:val="auto"/>
          <w:kern w:val="0"/>
          <w:sz w:val="21"/>
          <w:szCs w:val="21"/>
          <w:lang w:val="en-US" w:eastAsia="zh-CN" w:bidi="ar"/>
        </w:rPr>
        <w:t>小</w:t>
      </w:r>
      <w:r>
        <w:rPr>
          <w:rFonts w:hint="eastAsia" w:ascii="宋体" w:hAnsi="宋体" w:eastAsia="宋体" w:cs="宋体"/>
          <w:snapToGrid w:val="0"/>
          <w:color w:val="auto"/>
          <w:kern w:val="0"/>
          <w:sz w:val="21"/>
          <w:szCs w:val="21"/>
          <w:lang w:val="en-US" w:eastAsia="zh-CN" w:bidi="ar"/>
        </w:rPr>
        <w:t>于0.5MΩ。</w:t>
      </w:r>
    </w:p>
    <w:p w14:paraId="4AD5E0A9">
      <w:pPr>
        <w:keepNext w:val="0"/>
        <w:keepLines w:val="0"/>
        <w:pageBreakBefore w:val="0"/>
        <w:widowControl/>
        <w:suppressLineNumbers w:val="0"/>
        <w:kinsoku/>
        <w:wordWrap/>
        <w:overflowPunct/>
        <w:topLinePunct w:val="0"/>
        <w:autoSpaceDE/>
        <w:autoSpaceDN/>
        <w:bidi w:val="0"/>
        <w:adjustRightInd/>
        <w:snapToGrid/>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6.3.1.2.2</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低压母线绝缘电阻值不应小于0.5MΩ。 </w:t>
      </w:r>
    </w:p>
    <w:p w14:paraId="19A634B3">
      <w:pPr>
        <w:keepNext w:val="0"/>
        <w:keepLines w:val="0"/>
        <w:widowControl/>
        <w:suppressLineNumbers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6.3.1.2.3</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测量电线、电缆负荷电流，线芯和绝缘表面温度。最高允许温度和表面允许温升值应符合表4的规定。</w:t>
      </w:r>
    </w:p>
    <w:p w14:paraId="65F69991">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3"/>
        <w:rPr>
          <w:rFonts w:hint="eastAsia" w:ascii="黑体" w:hAnsi="黑体" w:eastAsia="黑体" w:cs="黑体"/>
          <w:color w:val="auto"/>
          <w:spacing w:val="11"/>
          <w:sz w:val="21"/>
          <w:szCs w:val="21"/>
          <w:lang w:val="en-US" w:eastAsia="zh-CN"/>
        </w:rPr>
      </w:pPr>
      <w:bookmarkStart w:id="290" w:name="_Toc21363"/>
      <w:r>
        <w:rPr>
          <w:rFonts w:hint="eastAsia" w:ascii="黑体" w:hAnsi="黑体" w:eastAsia="黑体" w:cs="黑体"/>
          <w:color w:val="auto"/>
          <w:spacing w:val="11"/>
          <w:sz w:val="21"/>
          <w:szCs w:val="21"/>
          <w:lang w:val="en-US" w:eastAsia="zh-CN"/>
        </w:rPr>
        <w:t>6.3.2  线路敷设</w:t>
      </w:r>
      <w:bookmarkEnd w:id="290"/>
    </w:p>
    <w:p w14:paraId="6FC60E9F">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9"/>
        <w:rPr>
          <w:rFonts w:hint="eastAsia" w:ascii="黑体" w:hAnsi="黑体" w:eastAsia="黑体" w:cs="黑体"/>
          <w:color w:val="auto"/>
          <w:spacing w:val="11"/>
          <w:sz w:val="21"/>
          <w:szCs w:val="21"/>
          <w:lang w:val="en-US" w:eastAsia="zh-CN"/>
        </w:rPr>
      </w:pPr>
      <w:r>
        <w:rPr>
          <w:rFonts w:hint="eastAsia" w:ascii="黑体" w:hAnsi="黑体" w:eastAsia="黑体" w:cs="黑体"/>
          <w:color w:val="auto"/>
          <w:spacing w:val="11"/>
          <w:sz w:val="21"/>
          <w:szCs w:val="21"/>
          <w:lang w:val="en-US" w:eastAsia="zh-CN"/>
        </w:rPr>
        <w:t>6.3.2.1  直观检查</w:t>
      </w:r>
    </w:p>
    <w:p w14:paraId="7FFB0849">
      <w:pPr>
        <w:keepNext w:val="0"/>
        <w:keepLines w:val="0"/>
        <w:pageBreakBefore w:val="0"/>
        <w:widowControl/>
        <w:suppressLineNumbers w:val="0"/>
        <w:wordWrap/>
        <w:overflowPunct/>
        <w:topLinePunct w:val="0"/>
        <w:bidi w:val="0"/>
        <w:adjustRightInd/>
        <w:snapToGrid/>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6.3.2.1.1</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snapToGrid w:val="0"/>
          <w:color w:val="auto"/>
          <w:kern w:val="0"/>
          <w:sz w:val="21"/>
          <w:szCs w:val="21"/>
          <w:lang w:val="en-US" w:eastAsia="zh-CN" w:bidi="ar"/>
        </w:rPr>
        <w:t>配电线路的敷设等应符合国家现行技术标准</w:t>
      </w:r>
      <w:r>
        <w:rPr>
          <w:rFonts w:hint="eastAsia" w:ascii="宋体" w:hAnsi="宋体" w:cs="宋体"/>
          <w:snapToGrid w:val="0"/>
          <w:color w:val="auto"/>
          <w:kern w:val="0"/>
          <w:sz w:val="21"/>
          <w:szCs w:val="21"/>
          <w:lang w:val="en-US" w:eastAsia="zh-CN" w:bidi="ar"/>
        </w:rPr>
        <w:t>和本地区地方标准</w:t>
      </w:r>
      <w:r>
        <w:rPr>
          <w:rFonts w:hint="eastAsia" w:ascii="宋体" w:hAnsi="宋体" w:eastAsia="宋体" w:cs="宋体"/>
          <w:snapToGrid w:val="0"/>
          <w:color w:val="auto"/>
          <w:kern w:val="0"/>
          <w:sz w:val="21"/>
          <w:szCs w:val="21"/>
          <w:lang w:val="en-US" w:eastAsia="zh-CN" w:bidi="ar"/>
        </w:rPr>
        <w:t>的规定。</w:t>
      </w:r>
    </w:p>
    <w:p w14:paraId="3E3A4F66">
      <w:pPr>
        <w:keepNext w:val="0"/>
        <w:keepLines w:val="0"/>
        <w:pageBreakBefore w:val="0"/>
        <w:widowControl/>
        <w:suppressLineNumbers w:val="0"/>
        <w:wordWrap/>
        <w:overflowPunct/>
        <w:topLinePunct w:val="0"/>
        <w:bidi w:val="0"/>
        <w:adjustRightInd/>
        <w:snapToGrid/>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6.3.2.1.2</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snapToGrid w:val="0"/>
          <w:color w:val="auto"/>
          <w:kern w:val="0"/>
          <w:sz w:val="21"/>
          <w:szCs w:val="21"/>
          <w:lang w:val="en-US" w:eastAsia="zh-CN" w:bidi="ar"/>
        </w:rPr>
        <w:t>在有可燃物闷顶和吊顶内敷设电力线缆时，应采用不燃材料的导管或电缆槽盒保护</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在闷顶内从接线盒引向器具的绝缘导线应采用可挠金属管或柔性金属管等保护，导线不应有裸露部分。</w:t>
      </w:r>
    </w:p>
    <w:p w14:paraId="676AF4C5">
      <w:pPr>
        <w:keepNext w:val="0"/>
        <w:keepLines w:val="0"/>
        <w:pageBreakBefore w:val="0"/>
        <w:widowControl/>
        <w:suppressLineNumbers w:val="0"/>
        <w:wordWrap/>
        <w:overflowPunct/>
        <w:topLinePunct w:val="0"/>
        <w:bidi w:val="0"/>
        <w:adjustRightInd/>
        <w:snapToGrid/>
        <w:jc w:val="left"/>
        <w:rPr>
          <w:rFonts w:hint="default"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6.3.2.1.3  </w:t>
      </w:r>
      <w:r>
        <w:rPr>
          <w:rFonts w:hint="eastAsia" w:ascii="宋体" w:hAnsi="宋体" w:eastAsia="宋体" w:cs="宋体"/>
          <w:snapToGrid w:val="0"/>
          <w:color w:val="auto"/>
          <w:kern w:val="0"/>
          <w:sz w:val="21"/>
          <w:szCs w:val="21"/>
          <w:lang w:val="en-US" w:eastAsia="zh-CN" w:bidi="ar"/>
        </w:rPr>
        <w:t>在严重腐蚀性的场所（如酸、碱和具有腐蚀性的化学气体），不宜采用金属管配线。</w:t>
      </w:r>
    </w:p>
    <w:p w14:paraId="1B65F38D">
      <w:pPr>
        <w:keepNext w:val="0"/>
        <w:keepLines w:val="0"/>
        <w:pageBreakBefore w:val="0"/>
        <w:widowControl/>
        <w:suppressLineNumbers w:val="0"/>
        <w:wordWrap/>
        <w:overflowPunct/>
        <w:topLinePunct w:val="0"/>
        <w:bidi w:val="0"/>
        <w:adjustRightInd/>
        <w:snapToGrid/>
        <w:jc w:val="left"/>
        <w:rPr>
          <w:rFonts w:hint="default" w:ascii="黑体" w:hAnsi="黑体" w:eastAsia="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6.3.2.1.4  </w:t>
      </w:r>
      <w:r>
        <w:rPr>
          <w:rFonts w:hint="eastAsia" w:ascii="宋体" w:hAnsi="宋体" w:eastAsia="宋体" w:cs="宋体"/>
          <w:snapToGrid w:val="0"/>
          <w:color w:val="auto"/>
          <w:kern w:val="0"/>
          <w:sz w:val="21"/>
          <w:szCs w:val="21"/>
          <w:lang w:val="en-US" w:eastAsia="zh-CN" w:bidi="ar"/>
        </w:rPr>
        <w:t>储存可燃物的仓库的电线必须敷设在金属或硬质难燃塑料套管内，电线应当设在库房通道上方，与堆垛保持安全距离。</w:t>
      </w:r>
    </w:p>
    <w:p w14:paraId="1E7A2AC1">
      <w:pPr>
        <w:keepNext w:val="0"/>
        <w:keepLines w:val="0"/>
        <w:pageBreakBefore w:val="0"/>
        <w:widowControl/>
        <w:suppressLineNumbers w:val="0"/>
        <w:wordWrap/>
        <w:overflowPunct/>
        <w:topLinePunct w:val="0"/>
        <w:bidi w:val="0"/>
        <w:adjustRightInd/>
        <w:snapToGrid/>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6.3.2.1.5</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snapToGrid w:val="0"/>
          <w:color w:val="auto"/>
          <w:kern w:val="0"/>
          <w:sz w:val="21"/>
          <w:szCs w:val="21"/>
          <w:lang w:val="en-US" w:eastAsia="zh-CN" w:bidi="ar"/>
        </w:rPr>
        <w:t>护套绝缘电线敷设在易受机械损伤的场所时，应采用刚性阻燃塑料导管、塑料槽板或金属导管保护。 护套线</w:t>
      </w:r>
      <w:r>
        <w:rPr>
          <w:rFonts w:hint="eastAsia" w:ascii="宋体" w:hAnsi="宋体" w:cs="宋体"/>
          <w:snapToGrid w:val="0"/>
          <w:color w:val="auto"/>
          <w:kern w:val="0"/>
          <w:sz w:val="21"/>
          <w:szCs w:val="21"/>
          <w:lang w:val="en-US" w:eastAsia="zh-CN" w:bidi="ar"/>
        </w:rPr>
        <w:t>不应</w:t>
      </w:r>
      <w:r>
        <w:rPr>
          <w:rFonts w:hint="eastAsia" w:ascii="宋体" w:hAnsi="宋体" w:eastAsia="宋体" w:cs="宋体"/>
          <w:snapToGrid w:val="0"/>
          <w:color w:val="auto"/>
          <w:kern w:val="0"/>
          <w:sz w:val="21"/>
          <w:szCs w:val="21"/>
          <w:lang w:val="en-US" w:eastAsia="zh-CN" w:bidi="ar"/>
        </w:rPr>
        <w:t>直接敷设在抹灰层、闷顶、护墙板、布幔角落和墙壁内，受阳光直射的室外场所，不应明敷塑料护套线。</w:t>
      </w:r>
    </w:p>
    <w:p w14:paraId="61925E9D">
      <w:pPr>
        <w:keepNext w:val="0"/>
        <w:keepLines w:val="0"/>
        <w:pageBreakBefore w:val="0"/>
        <w:widowControl/>
        <w:suppressLineNumbers w:val="0"/>
        <w:wordWrap/>
        <w:overflowPunct/>
        <w:topLinePunct w:val="0"/>
        <w:bidi w:val="0"/>
        <w:adjustRightInd/>
        <w:snapToGrid/>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6.3.2.1.6</w:t>
      </w:r>
      <w:r>
        <w:rPr>
          <w:rFonts w:hint="eastAsia" w:ascii="宋体" w:hAnsi="宋体" w:eastAsia="宋体" w:cs="宋体"/>
          <w:color w:val="auto"/>
          <w:spacing w:val="11"/>
          <w:sz w:val="21"/>
          <w:szCs w:val="21"/>
          <w:lang w:val="en-US" w:eastAsia="zh-CN"/>
        </w:rPr>
        <w:t xml:space="preserve"> </w:t>
      </w:r>
      <w:r>
        <w:rPr>
          <w:rFonts w:hint="eastAsia" w:ascii="宋体" w:hAnsi="宋体" w:cs="宋体"/>
          <w:color w:val="auto"/>
          <w:spacing w:val="11"/>
          <w:sz w:val="21"/>
          <w:szCs w:val="21"/>
          <w:lang w:val="en-US" w:eastAsia="zh-CN"/>
        </w:rPr>
        <w:t xml:space="preserve"> </w:t>
      </w:r>
      <w:r>
        <w:rPr>
          <w:rFonts w:hint="eastAsia" w:ascii="宋体" w:hAnsi="宋体" w:eastAsia="宋体" w:cs="宋体"/>
          <w:snapToGrid w:val="0"/>
          <w:color w:val="auto"/>
          <w:kern w:val="0"/>
          <w:sz w:val="21"/>
          <w:szCs w:val="21"/>
          <w:lang w:val="en-US" w:eastAsia="zh-CN" w:bidi="ar"/>
        </w:rPr>
        <w:t>金属电缆支架应可靠接地。</w:t>
      </w:r>
    </w:p>
    <w:p w14:paraId="0FF6B5E5">
      <w:pPr>
        <w:keepNext w:val="0"/>
        <w:keepLines w:val="0"/>
        <w:pageBreakBefore w:val="0"/>
        <w:widowControl/>
        <w:suppressLineNumbers w:val="0"/>
        <w:wordWrap/>
        <w:overflowPunct/>
        <w:topLinePunct w:val="0"/>
        <w:bidi w:val="0"/>
        <w:adjustRightInd/>
        <w:snapToGrid/>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6.3.2.1.7  </w:t>
      </w:r>
      <w:r>
        <w:rPr>
          <w:rFonts w:hint="eastAsia" w:ascii="宋体" w:hAnsi="宋体" w:eastAsia="宋体" w:cs="宋体"/>
          <w:snapToGrid w:val="0"/>
          <w:color w:val="auto"/>
          <w:kern w:val="0"/>
          <w:sz w:val="21"/>
          <w:szCs w:val="21"/>
          <w:lang w:val="en-US" w:eastAsia="zh-CN" w:bidi="ar"/>
        </w:rPr>
        <w:t>电缆出入电缆沟，电气竖井，建筑物，配电(控制)柜、台、箱处以及管子管口处等部位应采取防火或密封措施。</w:t>
      </w:r>
    </w:p>
    <w:p w14:paraId="614987CD">
      <w:pPr>
        <w:keepNext w:val="0"/>
        <w:keepLines w:val="0"/>
        <w:pageBreakBefore w:val="0"/>
        <w:widowControl/>
        <w:suppressLineNumbers w:val="0"/>
        <w:wordWrap/>
        <w:overflowPunct/>
        <w:topLinePunct w:val="0"/>
        <w:bidi w:val="0"/>
        <w:adjustRightInd/>
        <w:snapToGrid/>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6.3.2.1.8</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snapToGrid w:val="0"/>
          <w:color w:val="auto"/>
          <w:kern w:val="0"/>
          <w:sz w:val="21"/>
          <w:szCs w:val="21"/>
          <w:lang w:val="en-US" w:eastAsia="zh-CN" w:bidi="ar"/>
        </w:rPr>
        <w:t>装饰工程配线应符合下列要求</w:t>
      </w:r>
      <w:r>
        <w:rPr>
          <w:rFonts w:hint="eastAsia" w:ascii="宋体" w:hAnsi="宋体" w:cs="宋体"/>
          <w:snapToGrid w:val="0"/>
          <w:color w:val="auto"/>
          <w:kern w:val="0"/>
          <w:sz w:val="21"/>
          <w:szCs w:val="21"/>
          <w:lang w:val="en-US" w:eastAsia="zh-CN" w:bidi="ar"/>
        </w:rPr>
        <w:t>：</w:t>
      </w:r>
    </w:p>
    <w:p w14:paraId="74754BB3">
      <w:pPr>
        <w:keepNext w:val="0"/>
        <w:keepLines w:val="0"/>
        <w:pageBreakBefore w:val="0"/>
        <w:widowControl/>
        <w:suppressLineNumbers w:val="0"/>
        <w:kinsoku w:val="0"/>
        <w:wordWrap/>
        <w:overflowPunct/>
        <w:topLinePunct w:val="0"/>
        <w:autoSpaceDE w:val="0"/>
        <w:autoSpaceDN w:val="0"/>
        <w:bidi w:val="0"/>
        <w:adjustRightInd/>
        <w:snapToGrid/>
        <w:ind w:left="840" w:leftChars="200" w:hanging="420" w:hangingChars="200"/>
        <w:jc w:val="both"/>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动力设备和照明装置的配电线路，穿越可燃装饰材料时，除应穿保护管外，尚应采用不燃材料做隔热阻燃保护</w:t>
      </w:r>
      <w:r>
        <w:rPr>
          <w:rFonts w:hint="eastAsia" w:ascii="宋体" w:hAnsi="宋体" w:cs="宋体"/>
          <w:snapToGrid w:val="0"/>
          <w:color w:val="auto"/>
          <w:kern w:val="0"/>
          <w:sz w:val="21"/>
          <w:szCs w:val="21"/>
          <w:lang w:val="en-US" w:eastAsia="zh-CN" w:bidi="ar"/>
        </w:rPr>
        <w:t>；</w:t>
      </w:r>
    </w:p>
    <w:p w14:paraId="42231A26">
      <w:pPr>
        <w:keepNext w:val="0"/>
        <w:keepLines w:val="0"/>
        <w:pageBreakBefore w:val="0"/>
        <w:widowControl/>
        <w:suppressLineNumbers w:val="0"/>
        <w:kinsoku w:val="0"/>
        <w:wordWrap/>
        <w:overflowPunct/>
        <w:topLinePunct w:val="0"/>
        <w:autoSpaceDE/>
        <w:autoSpaceDN/>
        <w:bidi w:val="0"/>
        <w:adjustRightInd/>
        <w:snapToGrid/>
        <w:ind w:left="857" w:leftChars="208" w:hanging="420" w:hanging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配电线路设置在可燃装饰夹层时，应穿金属导管保护，若受装饰构造条件限制局部不能穿金属管时，应采用金属软管，其长度不宜大于2m</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导线不应裸露。</w:t>
      </w:r>
    </w:p>
    <w:p w14:paraId="3BF0A096">
      <w:pPr>
        <w:keepNext w:val="0"/>
        <w:keepLines w:val="0"/>
        <w:pageBreakBefore w:val="0"/>
        <w:widowControl/>
        <w:suppressLineNumbers w:val="0"/>
        <w:kinsoku w:val="0"/>
        <w:wordWrap/>
        <w:overflowPunct/>
        <w:topLinePunct w:val="0"/>
        <w:autoSpaceDE/>
        <w:autoSpaceDN/>
        <w:bidi w:val="0"/>
        <w:adjustRightInd/>
        <w:snapToGrid/>
        <w:ind w:left="840" w:hanging="840" w:hangingChars="400"/>
        <w:jc w:val="left"/>
        <w:textAlignment w:val="baseline"/>
        <w:rPr>
          <w:rFonts w:hint="eastAsia" w:ascii="宋体" w:hAnsi="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6.3.2.1.9  </w:t>
      </w:r>
      <w:r>
        <w:rPr>
          <w:rFonts w:hint="eastAsia" w:ascii="宋体" w:hAnsi="宋体" w:eastAsia="宋体" w:cs="宋体"/>
          <w:snapToGrid w:val="0"/>
          <w:color w:val="auto"/>
          <w:kern w:val="0"/>
          <w:sz w:val="21"/>
          <w:szCs w:val="21"/>
          <w:lang w:val="en-US" w:eastAsia="zh-CN" w:bidi="ar"/>
        </w:rPr>
        <w:t>消防配电线路应满足火灾时连续供电的需要，其敷设应符合下列规定</w:t>
      </w:r>
      <w:r>
        <w:rPr>
          <w:rFonts w:hint="eastAsia" w:ascii="宋体" w:hAnsi="宋体" w:cs="宋体"/>
          <w:snapToGrid w:val="0"/>
          <w:color w:val="auto"/>
          <w:kern w:val="0"/>
          <w:sz w:val="21"/>
          <w:szCs w:val="21"/>
          <w:lang w:val="en-US" w:eastAsia="zh-CN" w:bidi="ar"/>
        </w:rPr>
        <w:t xml:space="preserve">：   </w:t>
      </w:r>
    </w:p>
    <w:p w14:paraId="27A80166">
      <w:pPr>
        <w:keepNext w:val="0"/>
        <w:keepLines w:val="0"/>
        <w:pageBreakBefore w:val="0"/>
        <w:widowControl/>
        <w:suppressLineNumbers w:val="0"/>
        <w:kinsoku w:val="0"/>
        <w:wordWrap/>
        <w:overflowPunct/>
        <w:topLinePunct w:val="0"/>
        <w:autoSpaceDE/>
        <w:autoSpaceDN/>
        <w:bidi w:val="0"/>
        <w:adjustRightInd/>
        <w:snapToGrid/>
        <w:ind w:left="840" w:leftChars="200" w:hanging="420" w:hangingChars="200"/>
        <w:jc w:val="left"/>
        <w:textAlignment w:val="baseline"/>
        <w:rPr>
          <w:rFonts w:hint="default" w:ascii="宋体" w:hAnsi="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a)  明敷时(包括敷设在吊顶内),应穿金属导管或采用封闭式金属槽盒保护，金属导管或封闭式金属槽盒应采取防火保护措施；当采用阻燃或耐火电缆并敷设在电缆井、沟内时，可不穿金属导管或采用封闭式金属槽盒保护；当采用矿物绝缘类不燃性电缆时，可直接明敷；</w:t>
      </w:r>
    </w:p>
    <w:p w14:paraId="1CE9DC87">
      <w:pPr>
        <w:keepNext w:val="0"/>
        <w:keepLines w:val="0"/>
        <w:pageBreakBefore w:val="0"/>
        <w:widowControl/>
        <w:suppressLineNumbers w:val="0"/>
        <w:kinsoku w:val="0"/>
        <w:wordWrap/>
        <w:overflowPunct/>
        <w:topLinePunct w:val="0"/>
        <w:autoSpaceDE/>
        <w:autoSpaceDN/>
        <w:bidi w:val="0"/>
        <w:adjustRightInd/>
        <w:snapToGrid/>
        <w:ind w:firstLine="420"/>
        <w:jc w:val="left"/>
        <w:textAlignment w:val="baseline"/>
        <w:rPr>
          <w:rFonts w:hint="eastAsia" w:ascii="宋体" w:hAnsi="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b)  暗敷时，应穿管并应敷设在不燃性结构内且保护层厚度不应小于30mm；</w:t>
      </w:r>
    </w:p>
    <w:p w14:paraId="7797EA00">
      <w:pPr>
        <w:keepNext w:val="0"/>
        <w:keepLines w:val="0"/>
        <w:pageBreakBefore w:val="0"/>
        <w:widowControl/>
        <w:suppressLineNumbers w:val="0"/>
        <w:kinsoku w:val="0"/>
        <w:wordWrap/>
        <w:overflowPunct/>
        <w:topLinePunct w:val="0"/>
        <w:autoSpaceDE/>
        <w:autoSpaceDN/>
        <w:bidi w:val="0"/>
        <w:adjustRightInd/>
        <w:snapToGrid/>
        <w:ind w:left="840" w:leftChars="200" w:hanging="420" w:hangingChars="200"/>
        <w:jc w:val="left"/>
        <w:textAlignment w:val="baseline"/>
        <w:rPr>
          <w:rFonts w:hint="default" w:ascii="宋体" w:hAnsi="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c)  消防配电线路宜与其他配电线路分开敷设在不同的电缆井、沟内；确有困难需敷设在同一电缆井、沟内时，应分别布置在电缆井、沟的两侧，且消防配电线路应采用矿物绝缘类不燃性电缆。</w:t>
      </w:r>
    </w:p>
    <w:p w14:paraId="0C9D2DD2">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2"/>
          <w:szCs w:val="22"/>
          <w:lang w:val="en-US" w:eastAsia="zh-CN" w:bidi="ar"/>
        </w:rPr>
      </w:pPr>
      <w:r>
        <w:rPr>
          <w:rFonts w:hint="eastAsia" w:ascii="黑体" w:hAnsi="黑体" w:eastAsia="黑体" w:cs="黑体"/>
          <w:snapToGrid w:val="0"/>
          <w:color w:val="auto"/>
          <w:kern w:val="0"/>
          <w:sz w:val="21"/>
          <w:szCs w:val="21"/>
          <w:lang w:val="en-US" w:eastAsia="zh-CN" w:bidi="ar"/>
        </w:rPr>
        <w:t xml:space="preserve">6.3.2.1.10  </w:t>
      </w:r>
      <w:r>
        <w:rPr>
          <w:rFonts w:hint="eastAsia" w:ascii="宋体" w:hAnsi="宋体" w:eastAsia="宋体" w:cs="宋体"/>
          <w:snapToGrid w:val="0"/>
          <w:color w:val="auto"/>
          <w:kern w:val="0"/>
          <w:sz w:val="21"/>
          <w:szCs w:val="21"/>
          <w:lang w:val="en-US" w:eastAsia="zh-CN" w:bidi="ar"/>
        </w:rPr>
        <w:t>电缆与热力管道、热力设备之间的净距，平行时不应小于1.0m</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交叉时不应小于0.5m;当受条件限制时，应采取隔热措施。电缆不宜平行敷设于热力设备和热力管道的上部。</w:t>
      </w:r>
      <w:r>
        <w:rPr>
          <w:rFonts w:hint="eastAsia" w:ascii="宋体" w:hAnsi="宋体" w:eastAsia="宋体" w:cs="宋体"/>
          <w:snapToGrid w:val="0"/>
          <w:color w:val="auto"/>
          <w:kern w:val="0"/>
          <w:sz w:val="22"/>
          <w:szCs w:val="22"/>
          <w:lang w:val="en-US" w:eastAsia="zh-CN" w:bidi="ar"/>
        </w:rPr>
        <w:t xml:space="preserve"> </w:t>
      </w:r>
    </w:p>
    <w:p w14:paraId="60AB2085">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6.3.2.1.11</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snapToGrid w:val="0"/>
          <w:color w:val="auto"/>
          <w:kern w:val="0"/>
          <w:sz w:val="21"/>
          <w:szCs w:val="21"/>
          <w:lang w:val="en-US" w:eastAsia="zh-CN" w:bidi="ar"/>
        </w:rPr>
        <w:t xml:space="preserve">电缆沟内应无杂物，无积水、渗水现象；盖板齐全，且应采用不燃材料制作。电缆隧道内应无杂物，照明、通风、排水、消防等设施应符合设计要求，完好无缺。 </w:t>
      </w:r>
    </w:p>
    <w:p w14:paraId="3BA70507">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6.3.2.1.12</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snapToGrid w:val="0"/>
          <w:color w:val="auto"/>
          <w:kern w:val="0"/>
          <w:sz w:val="21"/>
          <w:szCs w:val="21"/>
          <w:lang w:val="en-US" w:eastAsia="zh-CN" w:bidi="ar"/>
        </w:rPr>
        <w:t>电缆进入电缆沟、隧道、坚井、建筑物、盘(柜)以及穿入</w:t>
      </w:r>
      <w:r>
        <w:rPr>
          <w:rFonts w:hint="eastAsia" w:ascii="宋体" w:hAnsi="宋体" w:cs="宋体"/>
          <w:snapToGrid w:val="0"/>
          <w:color w:val="auto"/>
          <w:kern w:val="0"/>
          <w:sz w:val="21"/>
          <w:szCs w:val="21"/>
          <w:lang w:val="en-US" w:eastAsia="zh-CN" w:bidi="ar"/>
        </w:rPr>
        <w:t>管</w:t>
      </w:r>
      <w:r>
        <w:rPr>
          <w:rFonts w:hint="eastAsia" w:ascii="宋体" w:hAnsi="宋体" w:eastAsia="宋体" w:cs="宋体"/>
          <w:snapToGrid w:val="0"/>
          <w:color w:val="auto"/>
          <w:kern w:val="0"/>
          <w:sz w:val="21"/>
          <w:szCs w:val="21"/>
          <w:lang w:val="en-US" w:eastAsia="zh-CN" w:bidi="ar"/>
        </w:rPr>
        <w:t>子时，出</w:t>
      </w:r>
      <w:r>
        <w:rPr>
          <w:rFonts w:hint="eastAsia" w:ascii="宋体" w:hAnsi="宋体" w:cs="宋体"/>
          <w:snapToGrid w:val="0"/>
          <w:color w:val="auto"/>
          <w:kern w:val="0"/>
          <w:sz w:val="21"/>
          <w:szCs w:val="21"/>
          <w:lang w:val="en-US" w:eastAsia="zh-CN" w:bidi="ar"/>
        </w:rPr>
        <w:t>入</w:t>
      </w:r>
      <w:r>
        <w:rPr>
          <w:rFonts w:hint="eastAsia" w:ascii="宋体" w:hAnsi="宋体" w:eastAsia="宋体" w:cs="宋体"/>
          <w:snapToGrid w:val="0"/>
          <w:color w:val="auto"/>
          <w:kern w:val="0"/>
          <w:sz w:val="21"/>
          <w:szCs w:val="21"/>
          <w:lang w:val="en-US" w:eastAsia="zh-CN" w:bidi="ar"/>
        </w:rPr>
        <w:t xml:space="preserve">口应封闭，管口应密封。 </w:t>
      </w:r>
    </w:p>
    <w:p w14:paraId="2AE1B88E">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6.3.2.1.13</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snapToGrid w:val="0"/>
          <w:color w:val="auto"/>
          <w:kern w:val="0"/>
          <w:sz w:val="21"/>
          <w:szCs w:val="21"/>
          <w:lang w:val="en-US" w:eastAsia="zh-CN" w:bidi="ar"/>
        </w:rPr>
        <w:t>交流单芯电缆或分相后的每相电缆不得单根独穿于钢导管内，固定用的夹具和支架不应形成闭合磁路。</w:t>
      </w:r>
      <w:r>
        <w:rPr>
          <w:rFonts w:hint="eastAsia" w:ascii="宋体" w:hAnsi="宋体" w:eastAsia="宋体" w:cs="宋体"/>
          <w:snapToGrid w:val="0"/>
          <w:color w:val="auto"/>
          <w:kern w:val="0"/>
          <w:sz w:val="21"/>
          <w:szCs w:val="21"/>
          <w:lang w:val="en-US" w:eastAsia="zh-CN" w:bidi="ar"/>
        </w:rPr>
        <w:t xml:space="preserve"> </w:t>
      </w:r>
    </w:p>
    <w:p w14:paraId="07EA474F">
      <w:pPr>
        <w:keepNext w:val="0"/>
        <w:keepLines w:val="0"/>
        <w:pageBreakBefore w:val="0"/>
        <w:widowControl/>
        <w:suppressLineNumbers w:val="0"/>
        <w:overflowPunct/>
        <w:topLinePunct w:val="0"/>
        <w:bidi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6.3.2.1.14</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snapToGrid w:val="0"/>
          <w:color w:val="auto"/>
          <w:kern w:val="0"/>
          <w:sz w:val="21"/>
          <w:szCs w:val="21"/>
          <w:lang w:val="en-US" w:eastAsia="zh-CN" w:bidi="ar"/>
        </w:rPr>
        <w:t xml:space="preserve">电力电缆不应和输送甲、乙、丙类液体管道，可燃气管道，热力管道，敷设在同一沟内。 </w:t>
      </w:r>
      <w:r>
        <w:rPr>
          <w:rFonts w:hint="eastAsia" w:ascii="宋体" w:hAnsi="宋体" w:eastAsia="宋体" w:cs="宋体"/>
          <w:snapToGrid w:val="0"/>
          <w:color w:val="auto"/>
          <w:kern w:val="0"/>
          <w:sz w:val="22"/>
          <w:szCs w:val="22"/>
          <w:lang w:val="en-US" w:eastAsia="zh-CN" w:bidi="ar"/>
        </w:rPr>
        <w:t xml:space="preserve"> </w:t>
      </w:r>
    </w:p>
    <w:p w14:paraId="3FE7A667">
      <w:pPr>
        <w:keepNext w:val="0"/>
        <w:keepLines w:val="0"/>
        <w:widowControl/>
        <w:suppressLineNumbers w:val="0"/>
        <w:jc w:val="left"/>
        <w:rPr>
          <w:rFonts w:hint="eastAsia" w:ascii="宋体" w:hAnsi="宋体" w:eastAsia="宋体" w:cs="宋体"/>
          <w:snapToGrid w:val="0"/>
          <w:color w:val="auto"/>
          <w:kern w:val="0"/>
          <w:sz w:val="22"/>
          <w:szCs w:val="22"/>
          <w:lang w:val="en-US" w:eastAsia="zh-CN" w:bidi="ar"/>
        </w:rPr>
      </w:pPr>
      <w:r>
        <w:rPr>
          <w:rFonts w:hint="eastAsia" w:ascii="黑体" w:hAnsi="黑体" w:eastAsia="黑体" w:cs="黑体"/>
          <w:snapToGrid w:val="0"/>
          <w:color w:val="auto"/>
          <w:kern w:val="0"/>
          <w:sz w:val="21"/>
          <w:szCs w:val="21"/>
          <w:lang w:val="en-US" w:eastAsia="zh-CN" w:bidi="ar"/>
        </w:rPr>
        <w:t>6.3.2.1.15</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snapToGrid w:val="0"/>
          <w:color w:val="auto"/>
          <w:kern w:val="0"/>
          <w:sz w:val="21"/>
          <w:szCs w:val="21"/>
          <w:lang w:val="en-US" w:eastAsia="zh-CN" w:bidi="ar"/>
        </w:rPr>
        <w:t>同一回路的所有相线和中性线应敷设在同一金属槽盒内或穿于同一金属导管内。</w:t>
      </w:r>
    </w:p>
    <w:p w14:paraId="3BCFA934">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3"/>
        <w:rPr>
          <w:rFonts w:hint="eastAsia" w:ascii="黑体" w:hAnsi="黑体" w:eastAsia="黑体" w:cs="黑体"/>
          <w:color w:val="auto"/>
          <w:spacing w:val="11"/>
          <w:sz w:val="21"/>
          <w:szCs w:val="21"/>
          <w:lang w:val="en-US" w:eastAsia="zh-CN"/>
        </w:rPr>
      </w:pPr>
      <w:bookmarkStart w:id="291" w:name="_Toc15808"/>
      <w:r>
        <w:rPr>
          <w:rFonts w:hint="eastAsia" w:ascii="黑体" w:hAnsi="黑体" w:eastAsia="黑体" w:cs="黑体"/>
          <w:color w:val="auto"/>
          <w:spacing w:val="11"/>
          <w:sz w:val="21"/>
          <w:szCs w:val="21"/>
          <w:lang w:val="en-US" w:eastAsia="zh-CN"/>
        </w:rPr>
        <w:t>6.3.3  导线连接</w:t>
      </w:r>
      <w:bookmarkEnd w:id="291"/>
    </w:p>
    <w:p w14:paraId="2D1D7768">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9"/>
        <w:rPr>
          <w:rFonts w:hint="eastAsia" w:ascii="黑体" w:hAnsi="黑体" w:eastAsia="黑体" w:cs="黑体"/>
          <w:color w:val="auto"/>
          <w:spacing w:val="11"/>
          <w:sz w:val="21"/>
          <w:szCs w:val="21"/>
          <w:lang w:val="en-US" w:eastAsia="zh-CN"/>
        </w:rPr>
      </w:pPr>
      <w:r>
        <w:rPr>
          <w:rFonts w:hint="eastAsia" w:ascii="黑体" w:hAnsi="黑体" w:eastAsia="黑体" w:cs="黑体"/>
          <w:color w:val="auto"/>
          <w:spacing w:val="11"/>
          <w:sz w:val="21"/>
          <w:szCs w:val="21"/>
          <w:lang w:val="en-US" w:eastAsia="zh-CN"/>
        </w:rPr>
        <w:t>6.3.3.1  直观检查</w:t>
      </w:r>
    </w:p>
    <w:p w14:paraId="027588B3">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6.3.3.1.1  </w:t>
      </w:r>
      <w:r>
        <w:rPr>
          <w:rFonts w:hint="eastAsia" w:ascii="宋体" w:hAnsi="宋体" w:eastAsia="宋体" w:cs="宋体"/>
          <w:snapToGrid w:val="0"/>
          <w:color w:val="auto"/>
          <w:kern w:val="0"/>
          <w:sz w:val="21"/>
          <w:szCs w:val="21"/>
          <w:lang w:val="en-US" w:eastAsia="zh-CN" w:bidi="ar"/>
        </w:rPr>
        <w:t>导线连接应符合国家现行技术标准的规定。</w:t>
      </w:r>
    </w:p>
    <w:p w14:paraId="0BF54CE0">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6.3.3.1.2</w:t>
      </w:r>
      <w:r>
        <w:rPr>
          <w:rFonts w:hint="eastAsia" w:ascii="宋体" w:hAnsi="宋体" w:eastAsia="宋体" w:cs="宋体"/>
          <w:color w:val="auto"/>
          <w:spacing w:val="11"/>
          <w:sz w:val="21"/>
          <w:szCs w:val="21"/>
          <w:lang w:val="en-US" w:eastAsia="zh-CN"/>
        </w:rPr>
        <w:t xml:space="preserve"> </w:t>
      </w:r>
      <w:r>
        <w:rPr>
          <w:rFonts w:hint="eastAsia" w:ascii="宋体" w:hAnsi="宋体" w:cs="宋体"/>
          <w:color w:val="auto"/>
          <w:spacing w:val="11"/>
          <w:sz w:val="21"/>
          <w:szCs w:val="21"/>
          <w:lang w:val="en-US" w:eastAsia="zh-CN"/>
        </w:rPr>
        <w:t xml:space="preserve"> </w:t>
      </w:r>
      <w:r>
        <w:rPr>
          <w:rFonts w:hint="eastAsia" w:ascii="宋体" w:hAnsi="宋体" w:eastAsia="宋体" w:cs="宋体"/>
          <w:snapToGrid w:val="0"/>
          <w:color w:val="auto"/>
          <w:kern w:val="0"/>
          <w:sz w:val="21"/>
          <w:szCs w:val="21"/>
          <w:lang w:val="en-US" w:eastAsia="zh-CN" w:bidi="ar"/>
        </w:rPr>
        <w:t>导线与导线连接应符合下列要求</w:t>
      </w:r>
      <w:r>
        <w:rPr>
          <w:rFonts w:hint="eastAsia" w:ascii="宋体" w:hAnsi="宋体" w:cs="宋体"/>
          <w:snapToGrid w:val="0"/>
          <w:color w:val="auto"/>
          <w:kern w:val="0"/>
          <w:sz w:val="21"/>
          <w:szCs w:val="21"/>
          <w:lang w:val="en-US" w:eastAsia="zh-CN" w:bidi="ar"/>
        </w:rPr>
        <w:t>：</w:t>
      </w:r>
    </w:p>
    <w:p w14:paraId="328771B0">
      <w:pPr>
        <w:keepNext w:val="0"/>
        <w:keepLines w:val="0"/>
        <w:pageBreakBefore w:val="0"/>
        <w:widowControl/>
        <w:suppressLineNumbers w:val="0"/>
        <w:kinsoku w:val="0"/>
        <w:wordWrap/>
        <w:overflowPunct/>
        <w:topLinePunct w:val="0"/>
        <w:autoSpaceDE w:val="0"/>
        <w:autoSpaceDN w:val="0"/>
        <w:bidi w:val="0"/>
        <w:adjustRightInd w:val="0"/>
        <w:snapToGrid w:val="0"/>
        <w:ind w:left="857" w:leftChars="208" w:hanging="420" w:hanging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导线接头应设在盒(箱)或器具内，盒(箱)配件齐全，固定牢固；在多尘和潮湿场所，应采用密封式盒(箱)</w:t>
      </w:r>
      <w:r>
        <w:rPr>
          <w:rFonts w:hint="eastAsia" w:ascii="宋体" w:hAnsi="宋体" w:cs="宋体"/>
          <w:snapToGrid w:val="0"/>
          <w:color w:val="auto"/>
          <w:kern w:val="0"/>
          <w:sz w:val="21"/>
          <w:szCs w:val="21"/>
          <w:lang w:val="en-US" w:eastAsia="zh-CN" w:bidi="ar"/>
        </w:rPr>
        <w:t>；</w:t>
      </w:r>
    </w:p>
    <w:p w14:paraId="569FF3C0">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绝缘导线接头，应包扎绝缘，其绝缘水平不应低于导线本身的绝缘强度</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 </w:t>
      </w:r>
    </w:p>
    <w:p w14:paraId="3465F03B">
      <w:pPr>
        <w:keepNext w:val="0"/>
        <w:keepLines w:val="0"/>
        <w:pageBreakBefore w:val="0"/>
        <w:widowControl/>
        <w:suppressLineNumbers w:val="0"/>
        <w:kinsoku w:val="0"/>
        <w:wordWrap/>
        <w:overflowPunct/>
        <w:topLinePunct w:val="0"/>
        <w:autoSpaceDE w:val="0"/>
        <w:autoSpaceDN w:val="0"/>
        <w:bidi w:val="0"/>
        <w:adjustRightInd w:val="0"/>
        <w:snapToGrid w:val="0"/>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临时移动电气线路的接头包扎绝缘后，应采用机械保护措施，不应被可燃物覆盖</w:t>
      </w:r>
      <w:r>
        <w:rPr>
          <w:rFonts w:hint="eastAsia" w:ascii="宋体" w:hAnsi="宋体" w:cs="宋体"/>
          <w:snapToGrid w:val="0"/>
          <w:color w:val="auto"/>
          <w:kern w:val="0"/>
          <w:sz w:val="21"/>
          <w:szCs w:val="21"/>
          <w:lang w:val="en-US" w:eastAsia="zh-CN" w:bidi="ar"/>
        </w:rPr>
        <w:t>。</w:t>
      </w:r>
    </w:p>
    <w:p w14:paraId="0B0DB0AD">
      <w:pPr>
        <w:keepNext w:val="0"/>
        <w:keepLines w:val="0"/>
        <w:pageBreakBefore w:val="0"/>
        <w:widowControl/>
        <w:tabs>
          <w:tab w:val="right" w:leader="dot" w:pos="9334"/>
        </w:tabs>
        <w:kinsoku w:val="0"/>
        <w:wordWrap/>
        <w:overflowPunct/>
        <w:topLinePunct w:val="0"/>
        <w:autoSpaceDE/>
        <w:autoSpaceDN/>
        <w:bidi w:val="0"/>
        <w:adjustRightInd w:val="0"/>
        <w:snapToGrid w:val="0"/>
        <w:spacing w:line="240" w:lineRule="auto"/>
        <w:textAlignment w:val="baseline"/>
        <w:rPr>
          <w:rFonts w:hint="eastAsia" w:ascii="宋体" w:hAnsi="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6.3.3.1.3</w:t>
      </w:r>
      <w:r>
        <w:rPr>
          <w:rFonts w:hint="eastAsia" w:ascii="宋体" w:hAnsi="宋体" w:eastAsia="宋体" w:cs="宋体"/>
          <w:color w:val="auto"/>
          <w:spacing w:val="11"/>
          <w:sz w:val="21"/>
          <w:szCs w:val="21"/>
          <w:lang w:val="en-US" w:eastAsia="zh-CN"/>
        </w:rPr>
        <w:t xml:space="preserve"> </w:t>
      </w:r>
      <w:r>
        <w:rPr>
          <w:rFonts w:hint="eastAsia" w:ascii="宋体" w:hAnsi="宋体" w:cs="宋体"/>
          <w:color w:val="auto"/>
          <w:spacing w:val="11"/>
          <w:sz w:val="21"/>
          <w:szCs w:val="21"/>
          <w:lang w:val="en-US" w:eastAsia="zh-CN"/>
        </w:rPr>
        <w:t xml:space="preserve"> </w:t>
      </w:r>
      <w:r>
        <w:rPr>
          <w:rFonts w:hint="eastAsia" w:ascii="宋体" w:hAnsi="宋体" w:eastAsia="宋体" w:cs="宋体"/>
          <w:snapToGrid w:val="0"/>
          <w:color w:val="auto"/>
          <w:kern w:val="0"/>
          <w:sz w:val="21"/>
          <w:szCs w:val="21"/>
          <w:lang w:val="en-US" w:eastAsia="zh-CN" w:bidi="ar"/>
        </w:rPr>
        <w:t>导线与设备、器具的连接应符合下列要求</w:t>
      </w:r>
      <w:r>
        <w:rPr>
          <w:rFonts w:hint="eastAsia" w:ascii="宋体" w:hAnsi="宋体" w:cs="宋体"/>
          <w:snapToGrid w:val="0"/>
          <w:color w:val="auto"/>
          <w:kern w:val="0"/>
          <w:sz w:val="21"/>
          <w:szCs w:val="21"/>
          <w:lang w:val="en-US" w:eastAsia="zh-CN" w:bidi="ar"/>
        </w:rPr>
        <w:t>：</w:t>
      </w:r>
    </w:p>
    <w:p w14:paraId="209B1742">
      <w:pPr>
        <w:keepNext w:val="0"/>
        <w:keepLines w:val="0"/>
        <w:pageBreakBefore w:val="0"/>
        <w:widowControl/>
        <w:tabs>
          <w:tab w:val="right" w:leader="dot" w:pos="9334"/>
        </w:tabs>
        <w:kinsoku w:val="0"/>
        <w:wordWrap/>
        <w:overflowPunct/>
        <w:topLinePunct w:val="0"/>
        <w:autoSpaceDE/>
        <w:autoSpaceDN/>
        <w:bidi w:val="0"/>
        <w:adjustRightInd w:val="0"/>
        <w:snapToGrid w:val="0"/>
        <w:spacing w:line="240" w:lineRule="auto"/>
        <w:ind w:firstLine="420" w:firstLineChars="200"/>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截面在10mm²及以下的单股铜芯线可直接与设备、器具的端子连接</w:t>
      </w:r>
      <w:r>
        <w:rPr>
          <w:rFonts w:hint="eastAsia" w:ascii="宋体" w:hAnsi="宋体" w:cs="宋体"/>
          <w:snapToGrid w:val="0"/>
          <w:color w:val="auto"/>
          <w:kern w:val="0"/>
          <w:sz w:val="21"/>
          <w:szCs w:val="21"/>
          <w:lang w:val="en-US" w:eastAsia="zh-CN" w:bidi="ar"/>
        </w:rPr>
        <w:t>；</w:t>
      </w:r>
    </w:p>
    <w:p w14:paraId="183C796C">
      <w:pPr>
        <w:keepNext w:val="0"/>
        <w:keepLines w:val="0"/>
        <w:pageBreakBefore w:val="0"/>
        <w:widowControl/>
        <w:tabs>
          <w:tab w:val="right" w:leader="dot" w:pos="9334"/>
        </w:tabs>
        <w:kinsoku w:val="0"/>
        <w:wordWrap/>
        <w:overflowPunct/>
        <w:topLinePunct w:val="0"/>
        <w:autoSpaceDE/>
        <w:autoSpaceDN/>
        <w:bidi w:val="0"/>
        <w:adjustRightInd w:val="0"/>
        <w:snapToGrid w:val="0"/>
        <w:spacing w:line="240" w:lineRule="auto"/>
        <w:ind w:left="840" w:leftChars="200" w:hanging="420" w:hangingChars="200"/>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截面在2.5mm²及以下的多股铜芯线，应先将芯线拧紧搪锡或压接端子后再与设备、器具的端子连接</w:t>
      </w:r>
      <w:r>
        <w:rPr>
          <w:rFonts w:hint="eastAsia" w:ascii="宋体" w:hAnsi="宋体" w:cs="宋体"/>
          <w:snapToGrid w:val="0"/>
          <w:color w:val="auto"/>
          <w:kern w:val="0"/>
          <w:sz w:val="21"/>
          <w:szCs w:val="21"/>
          <w:lang w:val="en-US" w:eastAsia="zh-CN" w:bidi="ar"/>
        </w:rPr>
        <w:t>；</w:t>
      </w:r>
    </w:p>
    <w:p w14:paraId="1347616B">
      <w:pPr>
        <w:keepNext w:val="0"/>
        <w:keepLines w:val="0"/>
        <w:pageBreakBefore w:val="0"/>
        <w:widowControl/>
        <w:tabs>
          <w:tab w:val="right" w:leader="dot" w:pos="9334"/>
        </w:tabs>
        <w:kinsoku w:val="0"/>
        <w:wordWrap/>
        <w:overflowPunct/>
        <w:topLinePunct w:val="0"/>
        <w:autoSpaceDE/>
        <w:autoSpaceDN/>
        <w:bidi w:val="0"/>
        <w:adjustRightInd w:val="0"/>
        <w:snapToGrid w:val="0"/>
        <w:spacing w:line="240" w:lineRule="auto"/>
        <w:ind w:left="840" w:leftChars="200" w:hanging="420" w:hangingChars="200"/>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截面大于2.5mm²的多股铜芯线，除设备自带插接式端子外，应将芯线端部拧紧搪锡压接端子后再与设备或器具的端子连接</w:t>
      </w:r>
      <w:r>
        <w:rPr>
          <w:rFonts w:hint="eastAsia" w:ascii="宋体" w:hAnsi="宋体" w:cs="宋体"/>
          <w:snapToGrid w:val="0"/>
          <w:color w:val="auto"/>
          <w:kern w:val="0"/>
          <w:sz w:val="21"/>
          <w:szCs w:val="21"/>
          <w:lang w:val="en-US" w:eastAsia="zh-CN" w:bidi="ar"/>
        </w:rPr>
        <w:t>；</w:t>
      </w:r>
    </w:p>
    <w:p w14:paraId="3F0E2667">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d)</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设备和器具的端子上，压接的电线不应多于两根</w:t>
      </w:r>
      <w:r>
        <w:rPr>
          <w:rFonts w:hint="eastAsia" w:ascii="宋体" w:hAnsi="宋体" w:cs="宋体"/>
          <w:snapToGrid w:val="0"/>
          <w:color w:val="auto"/>
          <w:kern w:val="0"/>
          <w:sz w:val="21"/>
          <w:szCs w:val="21"/>
          <w:lang w:val="en-US" w:eastAsia="zh-CN" w:bidi="ar"/>
        </w:rPr>
        <w:t>；</w:t>
      </w:r>
    </w:p>
    <w:p w14:paraId="25B1D1D1">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73" w:line="240" w:lineRule="auto"/>
        <w:ind w:left="0" w:firstLine="420" w:firstLineChars="200"/>
        <w:textAlignment w:val="baseline"/>
        <w:rPr>
          <w:rFonts w:hint="eastAsia" w:ascii="宋体" w:hAnsi="宋体" w:eastAsia="宋体" w:cs="宋体"/>
          <w:snapToGrid w:val="0"/>
          <w:color w:val="auto"/>
          <w:kern w:val="0"/>
          <w:sz w:val="22"/>
          <w:szCs w:val="22"/>
          <w:lang w:val="en-US" w:eastAsia="zh-CN" w:bidi="ar"/>
        </w:rPr>
      </w:pPr>
      <w:r>
        <w:rPr>
          <w:rFonts w:hint="eastAsia" w:ascii="宋体" w:hAnsi="宋体" w:cs="宋体"/>
          <w:snapToGrid w:val="0"/>
          <w:color w:val="auto"/>
          <w:kern w:val="0"/>
          <w:sz w:val="21"/>
          <w:szCs w:val="21"/>
          <w:lang w:val="en-US" w:eastAsia="zh-CN" w:bidi="ar"/>
        </w:rPr>
        <w:t>e)</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导线与接线端子连接的根部绝缘应良好，对裸露线芯应采用绝缘带严密包缠。</w:t>
      </w:r>
    </w:p>
    <w:p w14:paraId="58F2775F">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6.3.3.1.4</w:t>
      </w:r>
      <w:r>
        <w:rPr>
          <w:rFonts w:hint="eastAsia" w:ascii="宋体" w:hAnsi="宋体" w:eastAsia="宋体" w:cs="宋体"/>
          <w:color w:val="auto"/>
          <w:spacing w:val="11"/>
          <w:sz w:val="21"/>
          <w:szCs w:val="21"/>
          <w:lang w:val="en-US" w:eastAsia="zh-CN"/>
        </w:rPr>
        <w:t xml:space="preserve"> </w:t>
      </w:r>
      <w:r>
        <w:rPr>
          <w:rFonts w:hint="eastAsia" w:ascii="宋体" w:hAnsi="宋体" w:cs="宋体"/>
          <w:color w:val="auto"/>
          <w:spacing w:val="11"/>
          <w:sz w:val="21"/>
          <w:szCs w:val="21"/>
          <w:lang w:val="en-US" w:eastAsia="zh-CN"/>
        </w:rPr>
        <w:t xml:space="preserve"> </w:t>
      </w:r>
      <w:r>
        <w:rPr>
          <w:rFonts w:hint="eastAsia" w:ascii="宋体" w:hAnsi="宋体" w:eastAsia="宋体" w:cs="宋体"/>
          <w:snapToGrid w:val="0"/>
          <w:color w:val="auto"/>
          <w:kern w:val="0"/>
          <w:sz w:val="21"/>
          <w:szCs w:val="21"/>
          <w:lang w:val="en-US" w:eastAsia="zh-CN" w:bidi="ar"/>
        </w:rPr>
        <w:t>电缆终端和接头应符合下列要求</w:t>
      </w:r>
      <w:r>
        <w:rPr>
          <w:rFonts w:hint="eastAsia" w:ascii="宋体" w:hAnsi="宋体" w:cs="宋体"/>
          <w:snapToGrid w:val="0"/>
          <w:color w:val="auto"/>
          <w:kern w:val="0"/>
          <w:sz w:val="21"/>
          <w:szCs w:val="21"/>
          <w:lang w:val="en-US" w:eastAsia="zh-CN" w:bidi="ar"/>
        </w:rPr>
        <w:t>：</w:t>
      </w:r>
    </w:p>
    <w:p w14:paraId="3D396382">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电缆终端头和接头绝缘良好</w:t>
      </w:r>
      <w:r>
        <w:rPr>
          <w:rFonts w:hint="eastAsia" w:ascii="宋体" w:hAnsi="宋体" w:cs="宋体"/>
          <w:snapToGrid w:val="0"/>
          <w:color w:val="auto"/>
          <w:kern w:val="0"/>
          <w:sz w:val="21"/>
          <w:szCs w:val="21"/>
          <w:lang w:val="en-US" w:eastAsia="zh-CN" w:bidi="ar"/>
        </w:rPr>
        <w:t>；</w:t>
      </w:r>
    </w:p>
    <w:p w14:paraId="1A417A51">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840" w:leftChars="200" w:hanging="420" w:hangingChars="200"/>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电缆终端头的绝缘套管应完整清洁；绝缘胶应无塌陷无软化现象；电缆终端头应无漏油；铅包及封铅应无龟裂现象。并列敷设的电缆，其接头位置宜相互错开</w:t>
      </w:r>
      <w:r>
        <w:rPr>
          <w:rFonts w:hint="eastAsia" w:ascii="宋体" w:hAnsi="宋体" w:cs="宋体"/>
          <w:snapToGrid w:val="0"/>
          <w:color w:val="auto"/>
          <w:kern w:val="0"/>
          <w:sz w:val="21"/>
          <w:szCs w:val="21"/>
          <w:lang w:val="en-US" w:eastAsia="zh-CN" w:bidi="ar"/>
        </w:rPr>
        <w:t>；</w:t>
      </w:r>
    </w:p>
    <w:p w14:paraId="4623AA87">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电缆终端引线及其接线端子的接触应良好，无过热现象</w:t>
      </w:r>
      <w:r>
        <w:rPr>
          <w:rFonts w:hint="eastAsia" w:ascii="宋体" w:hAnsi="宋体" w:cs="宋体"/>
          <w:snapToGrid w:val="0"/>
          <w:color w:val="auto"/>
          <w:kern w:val="0"/>
          <w:sz w:val="21"/>
          <w:szCs w:val="21"/>
          <w:lang w:val="en-US" w:eastAsia="zh-CN" w:bidi="ar"/>
        </w:rPr>
        <w:t>。</w:t>
      </w:r>
    </w:p>
    <w:p w14:paraId="335FA221">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6.3.3.1.5</w:t>
      </w:r>
      <w:r>
        <w:rPr>
          <w:rFonts w:hint="eastAsia" w:ascii="宋体" w:hAnsi="宋体" w:eastAsia="宋体" w:cs="宋体"/>
          <w:color w:val="auto"/>
          <w:spacing w:val="11"/>
          <w:sz w:val="21"/>
          <w:szCs w:val="21"/>
          <w:lang w:val="en-US" w:eastAsia="zh-CN"/>
        </w:rPr>
        <w:t xml:space="preserve"> </w:t>
      </w:r>
      <w:r>
        <w:rPr>
          <w:rFonts w:hint="eastAsia" w:ascii="宋体" w:hAnsi="宋体" w:cs="宋体"/>
          <w:color w:val="auto"/>
          <w:spacing w:val="11"/>
          <w:sz w:val="21"/>
          <w:szCs w:val="21"/>
          <w:lang w:val="en-US" w:eastAsia="zh-CN"/>
        </w:rPr>
        <w:t xml:space="preserve"> </w:t>
      </w:r>
      <w:r>
        <w:rPr>
          <w:rFonts w:hint="eastAsia" w:ascii="宋体" w:hAnsi="宋体" w:eastAsia="宋体" w:cs="宋体"/>
          <w:snapToGrid w:val="0"/>
          <w:color w:val="auto"/>
          <w:kern w:val="0"/>
          <w:sz w:val="21"/>
          <w:szCs w:val="21"/>
          <w:lang w:val="en-US" w:eastAsia="zh-CN" w:bidi="ar"/>
        </w:rPr>
        <w:t>导线接头、导线与设备或器具接线端子</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不应有打火放电现象。</w:t>
      </w:r>
    </w:p>
    <w:p w14:paraId="1FEC0556">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9"/>
        <w:rPr>
          <w:rFonts w:hint="default" w:ascii="黑体" w:hAnsi="黑体" w:eastAsia="黑体" w:cs="黑体"/>
          <w:color w:val="auto"/>
          <w:spacing w:val="8"/>
          <w:sz w:val="24"/>
          <w:szCs w:val="24"/>
          <w:lang w:val="en-US" w:eastAsia="zh-CN"/>
        </w:rPr>
      </w:pPr>
      <w:r>
        <w:rPr>
          <w:rFonts w:hint="eastAsia" w:ascii="黑体" w:hAnsi="黑体" w:eastAsia="黑体" w:cs="黑体"/>
          <w:color w:val="auto"/>
          <w:spacing w:val="11"/>
          <w:sz w:val="21"/>
          <w:szCs w:val="21"/>
          <w:lang w:val="en-US" w:eastAsia="zh-CN"/>
        </w:rPr>
        <w:t>6.3.3.2  仪器检测</w:t>
      </w:r>
    </w:p>
    <w:p w14:paraId="455F6209">
      <w:pPr>
        <w:keepNext w:val="0"/>
        <w:keepLines w:val="0"/>
        <w:pageBreakBefore w:val="0"/>
        <w:widowControl/>
        <w:tabs>
          <w:tab w:val="right" w:leader="dot" w:pos="9334"/>
        </w:tabs>
        <w:kinsoku w:val="0"/>
        <w:wordWrap/>
        <w:overflowPunct/>
        <w:topLinePunct w:val="0"/>
        <w:autoSpaceDE/>
        <w:autoSpaceDN/>
        <w:bidi w:val="0"/>
        <w:adjustRightInd w:val="0"/>
        <w:snapToGrid w:val="0"/>
        <w:spacing w:line="240" w:lineRule="auto"/>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6.3.3.2.1</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检测电缆及电缆终端的外表最高允许温升应符合表4的规定。电缆终端和接头的温度场分布正常，无局部过热现象</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 </w:t>
      </w:r>
    </w:p>
    <w:p w14:paraId="558205FA">
      <w:pPr>
        <w:keepNext w:val="0"/>
        <w:keepLines w:val="0"/>
        <w:pageBreakBefore w:val="0"/>
        <w:widowControl/>
        <w:tabs>
          <w:tab w:val="right" w:leader="dot" w:pos="9334"/>
        </w:tabs>
        <w:kinsoku w:val="0"/>
        <w:wordWrap/>
        <w:overflowPunct/>
        <w:topLinePunct w:val="0"/>
        <w:autoSpaceDE/>
        <w:autoSpaceDN/>
        <w:bidi w:val="0"/>
        <w:adjustRightInd w:val="0"/>
        <w:snapToGrid w:val="0"/>
        <w:spacing w:line="240" w:lineRule="auto"/>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6.3.3.2.2  </w:t>
      </w:r>
      <w:r>
        <w:rPr>
          <w:rFonts w:hint="eastAsia" w:ascii="宋体" w:hAnsi="宋体" w:eastAsia="宋体" w:cs="宋体"/>
          <w:snapToGrid w:val="0"/>
          <w:color w:val="auto"/>
          <w:kern w:val="0"/>
          <w:sz w:val="21"/>
          <w:szCs w:val="21"/>
          <w:lang w:val="en-US" w:eastAsia="zh-CN" w:bidi="ar"/>
        </w:rPr>
        <w:t>电缆头引线的线间和线对地间的绝缘电阻值应大于0.5MΩ。</w:t>
      </w:r>
    </w:p>
    <w:p w14:paraId="29C5F519">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hint="eastAsia" w:ascii="黑体" w:hAnsi="黑体" w:eastAsia="黑体" w:cs="黑体"/>
          <w:color w:val="auto"/>
          <w:spacing w:val="8"/>
          <w:sz w:val="21"/>
          <w:szCs w:val="21"/>
          <w:lang w:val="en-US" w:eastAsia="zh-CN"/>
        </w:rPr>
      </w:pPr>
      <w:bookmarkStart w:id="292" w:name="_Toc23653"/>
      <w:bookmarkStart w:id="293" w:name="_Toc4215"/>
      <w:bookmarkStart w:id="294" w:name="_Toc19716"/>
      <w:bookmarkStart w:id="295" w:name="_Toc16350"/>
      <w:bookmarkStart w:id="296" w:name="_Toc15058"/>
      <w:bookmarkStart w:id="297" w:name="_Toc14592"/>
      <w:bookmarkStart w:id="298" w:name="_Toc18096"/>
      <w:bookmarkStart w:id="299" w:name="_Toc5437"/>
      <w:bookmarkStart w:id="300" w:name="_Toc16158"/>
      <w:bookmarkStart w:id="301" w:name="_Toc31010"/>
      <w:bookmarkStart w:id="302" w:name="_Toc19608"/>
      <w:bookmarkStart w:id="303" w:name="_Toc16892"/>
      <w:bookmarkStart w:id="304" w:name="_Toc859"/>
      <w:bookmarkStart w:id="305" w:name="_Toc12441"/>
      <w:bookmarkStart w:id="306" w:name="_Toc9808"/>
      <w:bookmarkStart w:id="307" w:name="_Toc10414"/>
      <w:bookmarkStart w:id="308" w:name="_Toc26598"/>
      <w:bookmarkStart w:id="309" w:name="_Toc3573"/>
      <w:bookmarkStart w:id="310" w:name="_Toc9800"/>
      <w:bookmarkStart w:id="311" w:name="_Toc22625"/>
      <w:bookmarkStart w:id="312" w:name="_Toc25097"/>
      <w:bookmarkStart w:id="313" w:name="_Toc17948"/>
      <w:bookmarkStart w:id="314" w:name="_Toc15708"/>
      <w:bookmarkStart w:id="315" w:name="_Toc28555"/>
      <w:r>
        <w:rPr>
          <w:rFonts w:hint="eastAsia" w:ascii="黑体" w:hAnsi="黑体" w:eastAsia="黑体" w:cs="黑体"/>
          <w:snapToGrid w:val="0"/>
          <w:color w:val="auto"/>
          <w:kern w:val="0"/>
          <w:sz w:val="21"/>
          <w:szCs w:val="21"/>
          <w:lang w:val="en-US" w:eastAsia="zh-CN" w:bidi="ar"/>
        </w:rPr>
        <w:t>6.4</w:t>
      </w:r>
      <w:r>
        <w:rPr>
          <w:rFonts w:hint="eastAsia" w:ascii="黑体" w:hAnsi="黑体" w:eastAsia="黑体" w:cs="黑体"/>
          <w:color w:val="auto"/>
          <w:spacing w:val="8"/>
          <w:sz w:val="21"/>
          <w:szCs w:val="21"/>
          <w:lang w:val="en-US" w:eastAsia="zh-CN"/>
        </w:rPr>
        <w:t xml:space="preserve">  照明灯具</w:t>
      </w:r>
      <w:bookmarkEnd w:id="292"/>
      <w:bookmarkEnd w:id="293"/>
      <w:bookmarkEnd w:id="294"/>
      <w:bookmarkEnd w:id="295"/>
      <w:bookmarkEnd w:id="296"/>
      <w:bookmarkEnd w:id="297"/>
      <w:bookmarkEnd w:id="298"/>
      <w:bookmarkEnd w:id="299"/>
      <w:bookmarkEnd w:id="300"/>
      <w:bookmarkEnd w:id="301"/>
      <w:r>
        <w:rPr>
          <w:rFonts w:hint="eastAsia" w:ascii="黑体" w:hAnsi="黑体" w:eastAsia="黑体" w:cs="黑体"/>
          <w:color w:val="auto"/>
          <w:spacing w:val="8"/>
          <w:sz w:val="21"/>
          <w:szCs w:val="21"/>
          <w:lang w:val="en-US" w:eastAsia="zh-CN"/>
        </w:rPr>
        <w:t>和开关、插座</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07B24285">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3"/>
        <w:rPr>
          <w:rFonts w:hint="eastAsia" w:ascii="黑体" w:hAnsi="黑体" w:eastAsia="黑体" w:cs="黑体"/>
          <w:color w:val="auto"/>
          <w:spacing w:val="8"/>
          <w:sz w:val="21"/>
          <w:szCs w:val="21"/>
          <w:lang w:val="en-US" w:eastAsia="zh-CN"/>
        </w:rPr>
      </w:pPr>
      <w:bookmarkStart w:id="316" w:name="_Toc24037"/>
      <w:r>
        <w:rPr>
          <w:rFonts w:hint="eastAsia" w:ascii="黑体" w:hAnsi="黑体" w:eastAsia="黑体" w:cs="黑体"/>
          <w:color w:val="auto"/>
          <w:spacing w:val="8"/>
          <w:sz w:val="21"/>
          <w:szCs w:val="21"/>
          <w:lang w:val="en-US" w:eastAsia="zh-CN"/>
        </w:rPr>
        <w:t>6.4.1  照明灯具</w:t>
      </w:r>
    </w:p>
    <w:p w14:paraId="50AE48E0">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9"/>
        <w:rPr>
          <w:rFonts w:hint="eastAsia" w:ascii="黑体" w:hAnsi="黑体" w:eastAsia="黑体" w:cs="黑体"/>
          <w:color w:val="auto"/>
          <w:spacing w:val="8"/>
          <w:sz w:val="21"/>
          <w:szCs w:val="21"/>
          <w:lang w:val="en-US" w:eastAsia="zh-CN"/>
        </w:rPr>
      </w:pPr>
      <w:r>
        <w:rPr>
          <w:rFonts w:hint="eastAsia" w:ascii="黑体" w:hAnsi="黑体" w:eastAsia="黑体" w:cs="黑体"/>
          <w:snapToGrid w:val="0"/>
          <w:color w:val="auto"/>
          <w:kern w:val="0"/>
          <w:sz w:val="21"/>
          <w:szCs w:val="21"/>
          <w:lang w:val="en-US" w:eastAsia="zh-CN" w:bidi="ar"/>
        </w:rPr>
        <w:t xml:space="preserve">6.4.1.1  </w:t>
      </w:r>
      <w:r>
        <w:rPr>
          <w:rFonts w:hint="eastAsia" w:ascii="黑体" w:hAnsi="黑体" w:eastAsia="黑体" w:cs="黑体"/>
          <w:color w:val="auto"/>
          <w:spacing w:val="8"/>
          <w:sz w:val="21"/>
          <w:szCs w:val="21"/>
          <w:lang w:val="en-US" w:eastAsia="zh-CN"/>
        </w:rPr>
        <w:t>直观检查</w:t>
      </w:r>
      <w:bookmarkEnd w:id="316"/>
    </w:p>
    <w:p w14:paraId="684763F7">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6.4.1.1.1  </w:t>
      </w:r>
      <w:r>
        <w:rPr>
          <w:rFonts w:hint="eastAsia" w:ascii="宋体" w:hAnsi="宋体" w:eastAsia="宋体" w:cs="宋体"/>
          <w:snapToGrid w:val="0"/>
          <w:color w:val="auto"/>
          <w:kern w:val="0"/>
          <w:sz w:val="21"/>
          <w:szCs w:val="21"/>
          <w:lang w:val="en-US" w:eastAsia="zh-CN" w:bidi="ar"/>
        </w:rPr>
        <w:t>室外场所应采用防护等级不低于IP54的灯具，其他场所采用的灯具应符合GB/T 50034中</w:t>
      </w:r>
      <w:r>
        <w:rPr>
          <w:rFonts w:hint="eastAsia" w:ascii="宋体" w:hAnsi="宋体" w:cs="宋体"/>
          <w:snapToGrid w:val="0"/>
          <w:color w:val="auto"/>
          <w:kern w:val="0"/>
          <w:sz w:val="21"/>
          <w:szCs w:val="21"/>
          <w:lang w:val="en-US" w:eastAsia="zh-CN" w:bidi="ar"/>
        </w:rPr>
        <w:t>第3章</w:t>
      </w:r>
      <w:r>
        <w:rPr>
          <w:rFonts w:hint="eastAsia" w:ascii="宋体" w:hAnsi="宋体" w:eastAsia="宋体" w:cs="宋体"/>
          <w:snapToGrid w:val="0"/>
          <w:color w:val="auto"/>
          <w:kern w:val="0"/>
          <w:sz w:val="21"/>
          <w:szCs w:val="21"/>
          <w:lang w:val="en-US" w:eastAsia="zh-CN" w:bidi="ar"/>
        </w:rPr>
        <w:t>对照明灯具选择的相应规定或相关系统专用灯具的规定。</w:t>
      </w:r>
    </w:p>
    <w:p w14:paraId="1C3E833A">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6.4.1.1.2  </w:t>
      </w:r>
      <w:r>
        <w:rPr>
          <w:rFonts w:hint="eastAsia" w:ascii="宋体" w:hAnsi="宋体" w:eastAsia="宋体" w:cs="宋体"/>
          <w:snapToGrid w:val="0"/>
          <w:color w:val="auto"/>
          <w:kern w:val="0"/>
          <w:sz w:val="21"/>
          <w:szCs w:val="21"/>
          <w:lang w:val="en-US" w:eastAsia="zh-CN" w:bidi="ar"/>
        </w:rPr>
        <w:t>庭院灯、建筑物附属路灯接线盒应采用防护等级不小于IPX5的防水接线盒，盒盖防水密封垫应齐全、完整。</w:t>
      </w:r>
    </w:p>
    <w:p w14:paraId="62A7DCD0">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6.4.1.1.3  </w:t>
      </w:r>
      <w:r>
        <w:rPr>
          <w:rFonts w:hint="eastAsia" w:ascii="宋体" w:hAnsi="宋体" w:eastAsia="宋体" w:cs="宋体"/>
          <w:snapToGrid w:val="0"/>
          <w:color w:val="auto"/>
          <w:kern w:val="0"/>
          <w:sz w:val="21"/>
          <w:szCs w:val="21"/>
          <w:lang w:val="en-US" w:eastAsia="zh-CN" w:bidi="ar"/>
        </w:rPr>
        <w:t>照明灯具上所装的光源，不应超过灯具的额定功率。</w:t>
      </w:r>
    </w:p>
    <w:p w14:paraId="743D97CD">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6.4.1.1.4 </w:t>
      </w:r>
      <w:r>
        <w:rPr>
          <w:rFonts w:hint="eastAsia" w:ascii="宋体" w:hAnsi="宋体" w:eastAsia="宋体" w:cs="宋体"/>
          <w:snapToGrid w:val="0"/>
          <w:color w:val="auto"/>
          <w:kern w:val="0"/>
          <w:sz w:val="21"/>
          <w:szCs w:val="21"/>
          <w:lang w:val="en-US" w:eastAsia="zh-CN" w:bidi="ar"/>
        </w:rPr>
        <w:t xml:space="preserve"> 额定功率不小于60W的</w:t>
      </w:r>
      <w:r>
        <w:rPr>
          <w:rFonts w:hint="eastAsia" w:ascii="宋体" w:hAnsi="宋体" w:cs="宋体"/>
          <w:snapToGrid w:val="0"/>
          <w:color w:val="auto"/>
          <w:kern w:val="0"/>
          <w:sz w:val="21"/>
          <w:szCs w:val="21"/>
          <w:lang w:val="en-US" w:eastAsia="zh-CN" w:bidi="ar"/>
        </w:rPr>
        <w:t>发热灯具（如</w:t>
      </w:r>
      <w:r>
        <w:rPr>
          <w:rFonts w:hint="eastAsia" w:ascii="宋体" w:hAnsi="宋体" w:eastAsia="宋体" w:cs="宋体"/>
          <w:snapToGrid w:val="0"/>
          <w:color w:val="auto"/>
          <w:kern w:val="0"/>
          <w:sz w:val="21"/>
          <w:szCs w:val="21"/>
          <w:lang w:val="en-US" w:eastAsia="zh-CN" w:bidi="ar"/>
        </w:rPr>
        <w:t>卤钨灯、高压钠灯、金属卤化物灯、荧光高压汞灯等)，不应直接安装在可燃材料上，聚光灯的聚光点不应落在可燃物上。</w:t>
      </w:r>
    </w:p>
    <w:p w14:paraId="3C3CE605">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6.4.1.1.5 </w:t>
      </w:r>
      <w:r>
        <w:rPr>
          <w:rFonts w:hint="eastAsia" w:ascii="宋体" w:hAnsi="宋体" w:eastAsia="宋体" w:cs="宋体"/>
          <w:snapToGrid w:val="0"/>
          <w:color w:val="auto"/>
          <w:kern w:val="0"/>
          <w:sz w:val="21"/>
          <w:szCs w:val="21"/>
          <w:lang w:val="en-US" w:eastAsia="zh-CN" w:bidi="ar"/>
        </w:rPr>
        <w:t xml:space="preserve"> 卤钨灯和其他发热式吸顶灯、槽灯、嵌入式灯，其引入线应采用瓷管、矿棉等不燃材料作隔热保护。</w:t>
      </w:r>
    </w:p>
    <w:p w14:paraId="13D6DF15">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240" w:lineRule="auto"/>
        <w:ind w:right="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6.4.1.1.6 </w:t>
      </w:r>
      <w:r>
        <w:rPr>
          <w:rFonts w:hint="eastAsia" w:ascii="宋体" w:hAnsi="宋体" w:eastAsia="宋体" w:cs="宋体"/>
          <w:snapToGrid w:val="0"/>
          <w:color w:val="auto"/>
          <w:kern w:val="0"/>
          <w:sz w:val="21"/>
          <w:szCs w:val="21"/>
          <w:lang w:val="en-US" w:eastAsia="zh-CN" w:bidi="ar"/>
        </w:rPr>
        <w:t xml:space="preserve"> 高压钠灯、金属卤化物灯的电源线应经接线柱连接。</w:t>
      </w:r>
    </w:p>
    <w:p w14:paraId="6D7B569E">
      <w:pPr>
        <w:keepNext w:val="0"/>
        <w:keepLines w:val="0"/>
        <w:widowControl/>
        <w:suppressLineNumbers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6.4.1.1.7</w:t>
      </w:r>
      <w:r>
        <w:rPr>
          <w:rFonts w:hint="eastAsia" w:ascii="宋体" w:hAnsi="宋体" w:eastAsia="宋体" w:cs="宋体"/>
          <w:snapToGrid w:val="0"/>
          <w:color w:val="auto"/>
          <w:kern w:val="0"/>
          <w:sz w:val="21"/>
          <w:szCs w:val="21"/>
          <w:lang w:val="en-US" w:eastAsia="zh-CN" w:bidi="ar"/>
        </w:rPr>
        <w:t xml:space="preserve">  可燃材料仓库内应使用低温照明灯具，并对灯具的发热部件采取隔热等防火措施，不应使用发热的卤钨灯、高压钠灯、金属卤化物灯、荧光高压汞灯等高温照明灯具。</w:t>
      </w:r>
    </w:p>
    <w:p w14:paraId="129C94E2">
      <w:pPr>
        <w:keepNext w:val="0"/>
        <w:keepLines w:val="0"/>
        <w:widowControl/>
        <w:suppressLineNumbers w:val="0"/>
        <w:jc w:val="left"/>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6.4.1.1.8</w:t>
      </w:r>
      <w:r>
        <w:rPr>
          <w:rFonts w:hint="eastAsia" w:ascii="宋体" w:hAnsi="宋体" w:eastAsia="宋体" w:cs="宋体"/>
          <w:snapToGrid w:val="0"/>
          <w:color w:val="auto"/>
          <w:kern w:val="0"/>
          <w:sz w:val="21"/>
          <w:szCs w:val="21"/>
          <w:lang w:val="en-US" w:eastAsia="zh-CN" w:bidi="ar"/>
        </w:rPr>
        <w:t xml:space="preserve">  灯具表面及其附件的高温部位靠近可燃物时，应采取隔热、散热等防火保护措施。</w:t>
      </w:r>
    </w:p>
    <w:p w14:paraId="582DFA7E">
      <w:pPr>
        <w:keepNext w:val="0"/>
        <w:keepLines w:val="0"/>
        <w:widowControl/>
        <w:suppressLineNumbers w:val="0"/>
        <w:jc w:val="left"/>
        <w:rPr>
          <w:rFonts w:hint="default"/>
          <w:color w:val="auto"/>
          <w:lang w:val="en-US"/>
        </w:rPr>
      </w:pPr>
      <w:r>
        <w:rPr>
          <w:rFonts w:hint="eastAsia" w:ascii="黑体" w:hAnsi="黑体" w:eastAsia="黑体" w:cs="黑体"/>
          <w:snapToGrid w:val="0"/>
          <w:color w:val="auto"/>
          <w:kern w:val="0"/>
          <w:sz w:val="21"/>
          <w:szCs w:val="21"/>
          <w:lang w:val="en-US" w:eastAsia="zh-CN" w:bidi="ar"/>
        </w:rPr>
        <w:t xml:space="preserve">6.4.1.1.9 </w:t>
      </w:r>
      <w:r>
        <w:rPr>
          <w:rFonts w:hint="eastAsia" w:ascii="宋体" w:hAnsi="宋体" w:eastAsia="宋体" w:cs="宋体"/>
          <w:snapToGrid w:val="0"/>
          <w:color w:val="auto"/>
          <w:kern w:val="0"/>
          <w:sz w:val="21"/>
          <w:szCs w:val="21"/>
          <w:lang w:val="en-US" w:eastAsia="zh-CN" w:bidi="ar"/>
        </w:rPr>
        <w:t xml:space="preserve"> 建筑物彩灯宜采用LED等节能新型光源，不应采用热辐射光源灯具。</w:t>
      </w:r>
      <w:r>
        <w:rPr>
          <w:rFonts w:hint="default" w:ascii="*KSLWGWQWJR0_19_0" w:hAnsi="*KSLWGWQWJR0_19_0" w:eastAsia="*KSLWGWQWJR0_19_0" w:cs="*KSLWGWQWJR0_19_0"/>
          <w:color w:val="auto"/>
          <w:kern w:val="0"/>
          <w:sz w:val="22"/>
          <w:szCs w:val="22"/>
          <w:lang w:val="en-US" w:eastAsia="zh-CN" w:bidi="ar"/>
        </w:rPr>
        <w:t>应根据建筑物的防雷类别采取相应的防止闪电电涌侵</w:t>
      </w:r>
      <w:r>
        <w:rPr>
          <w:rFonts w:hint="default" w:ascii="*KSLWGWQWJR0_19_0" w:hAnsi="*KSLWGWQWJR0_19_0" w:eastAsia="*KSLWGWQWJR0_19_0" w:cs="*KSLWGWQWJR0_19_0"/>
          <w:color w:val="auto"/>
          <w:kern w:val="0"/>
          <w:sz w:val="21"/>
          <w:szCs w:val="21"/>
          <w:lang w:val="en-US" w:eastAsia="zh-CN" w:bidi="ar"/>
        </w:rPr>
        <w:t>入的措施</w:t>
      </w:r>
      <w:r>
        <w:rPr>
          <w:rFonts w:hint="eastAsia" w:ascii="*KSLWGWQWJR0_19_0" w:hAnsi="*KSLWGWQWJR0_19_0" w:eastAsia="*KSLWGWQWJR0_19_0" w:cs="*KSLWGWQWJR0_19_0"/>
          <w:color w:val="auto"/>
          <w:kern w:val="0"/>
          <w:sz w:val="21"/>
          <w:szCs w:val="21"/>
          <w:lang w:val="en-US" w:eastAsia="zh-CN" w:bidi="ar"/>
        </w:rPr>
        <w:t>。</w:t>
      </w:r>
    </w:p>
    <w:p w14:paraId="5080597D">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after="157" w:afterLines="50" w:line="240" w:lineRule="auto"/>
        <w:jc w:val="left"/>
        <w:textAlignment w:val="baseline"/>
        <w:outlineLvl w:val="9"/>
        <w:rPr>
          <w:rFonts w:hint="eastAsia" w:ascii="黑体" w:hAnsi="黑体" w:eastAsia="黑体" w:cs="黑体"/>
          <w:snapToGrid w:val="0"/>
          <w:color w:val="auto"/>
          <w:kern w:val="0"/>
          <w:sz w:val="21"/>
          <w:szCs w:val="21"/>
          <w:lang w:val="en-US" w:eastAsia="zh-CN" w:bidi="ar"/>
        </w:rPr>
      </w:pPr>
      <w:bookmarkStart w:id="317" w:name="_Toc11743"/>
      <w:r>
        <w:rPr>
          <w:rFonts w:hint="eastAsia" w:ascii="黑体" w:hAnsi="黑体" w:eastAsia="黑体" w:cs="黑体"/>
          <w:snapToGrid w:val="0"/>
          <w:color w:val="auto"/>
          <w:kern w:val="0"/>
          <w:sz w:val="21"/>
          <w:szCs w:val="21"/>
          <w:lang w:val="en-US" w:eastAsia="zh-CN" w:bidi="ar"/>
        </w:rPr>
        <w:t>6.4.1.2  仪器检测</w:t>
      </w:r>
      <w:bookmarkEnd w:id="317"/>
    </w:p>
    <w:p w14:paraId="0CD0AFB5">
      <w:pPr>
        <w:keepNext w:val="0"/>
        <w:keepLines w:val="0"/>
        <w:pageBreakBefore w:val="0"/>
        <w:widowControl/>
        <w:suppressLineNumbers w:val="0"/>
        <w:kinsoku w:val="0"/>
        <w:wordWrap/>
        <w:overflowPunct/>
        <w:topLinePunct w:val="0"/>
        <w:autoSpaceDE/>
        <w:autoSpaceDN/>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6.4.1.2.1</w:t>
      </w:r>
      <w:r>
        <w:rPr>
          <w:rFonts w:hint="eastAsia" w:ascii="宋体" w:hAnsi="宋体" w:eastAsia="宋体" w:cs="宋体"/>
          <w:snapToGrid w:val="0"/>
          <w:color w:val="auto"/>
          <w:kern w:val="0"/>
          <w:sz w:val="21"/>
          <w:szCs w:val="21"/>
          <w:lang w:val="en-US" w:eastAsia="zh-CN" w:bidi="ar"/>
        </w:rPr>
        <w:t xml:space="preserve">  照明灯具与可燃物之间的安全距离应符合表5的规定</w:t>
      </w:r>
      <w:r>
        <w:rPr>
          <w:rFonts w:hint="eastAsia" w:ascii="宋体" w:hAnsi="宋体" w:cs="宋体"/>
          <w:snapToGrid w:val="0"/>
          <w:color w:val="auto"/>
          <w:kern w:val="0"/>
          <w:sz w:val="21"/>
          <w:szCs w:val="21"/>
          <w:lang w:val="en-US" w:eastAsia="zh-CN" w:bidi="ar"/>
        </w:rPr>
        <w:t>。</w:t>
      </w:r>
    </w:p>
    <w:p w14:paraId="67D8ABFA">
      <w:pPr>
        <w:pStyle w:val="301"/>
        <w:bidi w:val="0"/>
        <w:rPr>
          <w:rFonts w:hint="eastAsia"/>
          <w:color w:val="auto"/>
          <w:lang w:val="en-US" w:eastAsia="zh-CN"/>
        </w:rPr>
      </w:pPr>
      <w:bookmarkStart w:id="318" w:name="_Toc8292"/>
      <w:bookmarkStart w:id="319" w:name="_Toc7570"/>
      <w:bookmarkStart w:id="320" w:name="_Toc18521"/>
      <w:bookmarkStart w:id="321" w:name="_Toc2625"/>
      <w:bookmarkStart w:id="322" w:name="_Toc21274"/>
      <w:bookmarkStart w:id="323" w:name="_Toc6421"/>
      <w:bookmarkStart w:id="324" w:name="_Toc4599"/>
      <w:bookmarkStart w:id="325" w:name="_Toc4671"/>
      <w:bookmarkStart w:id="326" w:name="_Toc8109"/>
      <w:bookmarkStart w:id="327" w:name="_Toc1447"/>
      <w:r>
        <w:rPr>
          <w:rFonts w:hint="eastAsia"/>
          <w:color w:val="auto"/>
          <w:lang w:val="en-US" w:eastAsia="zh-CN"/>
        </w:rPr>
        <w:t>照明灯具与可燃物之间的安全距离</w:t>
      </w:r>
      <w:bookmarkEnd w:id="318"/>
      <w:bookmarkEnd w:id="319"/>
      <w:bookmarkEnd w:id="320"/>
      <w:bookmarkEnd w:id="321"/>
      <w:bookmarkEnd w:id="322"/>
      <w:bookmarkEnd w:id="323"/>
      <w:bookmarkEnd w:id="324"/>
      <w:bookmarkEnd w:id="325"/>
      <w:bookmarkEnd w:id="326"/>
      <w:bookmarkEnd w:id="327"/>
    </w:p>
    <w:tbl>
      <w:tblPr>
        <w:tblStyle w:val="89"/>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943"/>
        <w:gridCol w:w="1205"/>
        <w:gridCol w:w="1379"/>
        <w:gridCol w:w="1526"/>
        <w:gridCol w:w="1214"/>
        <w:gridCol w:w="1577"/>
      </w:tblGrid>
      <w:tr w14:paraId="2EEB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1" w:type="dxa"/>
            <w:vAlign w:val="center"/>
          </w:tcPr>
          <w:p w14:paraId="52D22D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灯具类型</w:t>
            </w:r>
          </w:p>
        </w:tc>
        <w:tc>
          <w:tcPr>
            <w:tcW w:w="943" w:type="dxa"/>
            <w:vAlign w:val="center"/>
          </w:tcPr>
          <w:p w14:paraId="0A3AB2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普通灯具</w:t>
            </w:r>
          </w:p>
        </w:tc>
        <w:tc>
          <w:tcPr>
            <w:tcW w:w="1205" w:type="dxa"/>
            <w:vAlign w:val="center"/>
          </w:tcPr>
          <w:p w14:paraId="2F33B0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高温灯具</w:t>
            </w:r>
          </w:p>
          <w:p w14:paraId="4FA6DC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（聚光灯、碘钨灯等）</w:t>
            </w:r>
          </w:p>
        </w:tc>
        <w:tc>
          <w:tcPr>
            <w:tcW w:w="1379" w:type="dxa"/>
            <w:vAlign w:val="center"/>
          </w:tcPr>
          <w:p w14:paraId="6CBF10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影剧院、礼堂用的面光灯、耳光灯</w:t>
            </w:r>
          </w:p>
        </w:tc>
        <w:tc>
          <w:tcPr>
            <w:tcW w:w="1526" w:type="dxa"/>
            <w:vAlign w:val="center"/>
          </w:tcPr>
          <w:p w14:paraId="2A51C1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容量为100W-500W</w:t>
            </w:r>
          </w:p>
          <w:p w14:paraId="15F1DC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的灯具</w:t>
            </w:r>
          </w:p>
        </w:tc>
        <w:tc>
          <w:tcPr>
            <w:tcW w:w="1214" w:type="dxa"/>
            <w:vAlign w:val="center"/>
          </w:tcPr>
          <w:p w14:paraId="61D847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容量为501W-2000W</w:t>
            </w:r>
          </w:p>
          <w:p w14:paraId="768182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的灯具</w:t>
            </w:r>
          </w:p>
        </w:tc>
        <w:tc>
          <w:tcPr>
            <w:tcW w:w="1577" w:type="dxa"/>
            <w:vAlign w:val="center"/>
          </w:tcPr>
          <w:p w14:paraId="3580AA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容量为2001W以上</w:t>
            </w:r>
          </w:p>
          <w:p w14:paraId="3971EC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的灯具</w:t>
            </w:r>
          </w:p>
        </w:tc>
      </w:tr>
      <w:tr w14:paraId="3785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51" w:type="dxa"/>
            <w:vMerge w:val="restart"/>
            <w:vAlign w:val="center"/>
          </w:tcPr>
          <w:p w14:paraId="457D08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与可燃物之间的安全距离</w:t>
            </w:r>
          </w:p>
          <w:p w14:paraId="28E0B0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cs="宋体"/>
                <w:snapToGrid w:val="0"/>
                <w:color w:val="auto"/>
                <w:kern w:val="0"/>
                <w:sz w:val="18"/>
                <w:szCs w:val="18"/>
                <w:lang w:val="en-US" w:eastAsia="zh-CN" w:bidi="ar"/>
              </w:rPr>
              <w:t>m</w:t>
            </w:r>
          </w:p>
        </w:tc>
        <w:tc>
          <w:tcPr>
            <w:tcW w:w="943" w:type="dxa"/>
            <w:vAlign w:val="center"/>
          </w:tcPr>
          <w:p w14:paraId="6531AD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≥0.3</w:t>
            </w:r>
          </w:p>
        </w:tc>
        <w:tc>
          <w:tcPr>
            <w:tcW w:w="1205" w:type="dxa"/>
            <w:vAlign w:val="center"/>
          </w:tcPr>
          <w:p w14:paraId="5AFF27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≥0.5</w:t>
            </w:r>
          </w:p>
        </w:tc>
        <w:tc>
          <w:tcPr>
            <w:tcW w:w="1379" w:type="dxa"/>
            <w:vAlign w:val="center"/>
          </w:tcPr>
          <w:p w14:paraId="185841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≥0.5</w:t>
            </w:r>
          </w:p>
        </w:tc>
        <w:tc>
          <w:tcPr>
            <w:tcW w:w="1526" w:type="dxa"/>
            <w:vAlign w:val="center"/>
          </w:tcPr>
          <w:p w14:paraId="1E80EF4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≥0.5</w:t>
            </w:r>
          </w:p>
        </w:tc>
        <w:tc>
          <w:tcPr>
            <w:tcW w:w="1214" w:type="dxa"/>
            <w:vAlign w:val="center"/>
          </w:tcPr>
          <w:p w14:paraId="4E4AF4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≥0.7</w:t>
            </w:r>
          </w:p>
        </w:tc>
        <w:tc>
          <w:tcPr>
            <w:tcW w:w="1577" w:type="dxa"/>
            <w:vAlign w:val="center"/>
          </w:tcPr>
          <w:p w14:paraId="4F0095D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≥1.2</w:t>
            </w:r>
          </w:p>
        </w:tc>
      </w:tr>
      <w:tr w14:paraId="0510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51" w:type="dxa"/>
            <w:vMerge w:val="continue"/>
            <w:vAlign w:val="center"/>
          </w:tcPr>
          <w:p w14:paraId="648D3E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360" w:firstLineChars="200"/>
              <w:jc w:val="center"/>
              <w:textAlignment w:val="baseline"/>
              <w:rPr>
                <w:rFonts w:hint="eastAsia" w:ascii="宋体" w:hAnsi="宋体" w:eastAsia="宋体" w:cs="宋体"/>
                <w:snapToGrid w:val="0"/>
                <w:color w:val="auto"/>
                <w:kern w:val="0"/>
                <w:sz w:val="18"/>
                <w:szCs w:val="18"/>
                <w:lang w:val="en-US" w:eastAsia="zh-CN" w:bidi="ar"/>
              </w:rPr>
            </w:pPr>
          </w:p>
        </w:tc>
        <w:tc>
          <w:tcPr>
            <w:tcW w:w="7844" w:type="dxa"/>
            <w:gridSpan w:val="6"/>
            <w:vAlign w:val="center"/>
          </w:tcPr>
          <w:p w14:paraId="66953D7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360" w:firstLineChars="200"/>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安全距离不满足上述要求时，应采取隔热、散热等防火措施</w:t>
            </w:r>
          </w:p>
        </w:tc>
      </w:tr>
    </w:tbl>
    <w:p w14:paraId="655F8EB3">
      <w:pPr>
        <w:keepNext w:val="0"/>
        <w:keepLines w:val="0"/>
        <w:pageBreakBefore w:val="0"/>
        <w:widowControl/>
        <w:suppressLineNumbers w:val="0"/>
        <w:kinsoku w:val="0"/>
        <w:wordWrap/>
        <w:overflowPunct/>
        <w:topLinePunct w:val="0"/>
        <w:autoSpaceDE w:val="0"/>
        <w:autoSpaceDN w:val="0"/>
        <w:bidi w:val="0"/>
        <w:adjustRightInd/>
        <w:snapToGrid/>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6.4.1.2.2</w:t>
      </w:r>
      <w:r>
        <w:rPr>
          <w:rFonts w:hint="eastAsia" w:ascii="宋体" w:hAnsi="宋体" w:eastAsia="宋体" w:cs="宋体"/>
          <w:snapToGrid w:val="0"/>
          <w:color w:val="auto"/>
          <w:kern w:val="0"/>
          <w:sz w:val="21"/>
          <w:szCs w:val="21"/>
          <w:lang w:val="en-US" w:eastAsia="zh-CN" w:bidi="ar"/>
        </w:rPr>
        <w:t xml:space="preserve">  霓虹灯及其专用变压器的二次侧导线与建筑物、构筑物表面距离应不小于20mm。</w:t>
      </w:r>
    </w:p>
    <w:p w14:paraId="496153A1">
      <w:pPr>
        <w:keepNext w:val="0"/>
        <w:keepLines w:val="0"/>
        <w:pageBreakBefore w:val="0"/>
        <w:widowControl/>
        <w:suppressLineNumbers w:val="0"/>
        <w:kinsoku w:val="0"/>
        <w:wordWrap/>
        <w:overflowPunct/>
        <w:topLinePunct w:val="0"/>
        <w:autoSpaceDE w:val="0"/>
        <w:autoSpaceDN w:val="0"/>
        <w:bidi w:val="0"/>
        <w:adjustRightInd/>
        <w:snapToGrid/>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6.4.1.2.3</w:t>
      </w:r>
      <w:r>
        <w:rPr>
          <w:rFonts w:hint="eastAsia" w:ascii="宋体" w:hAnsi="宋体" w:eastAsia="宋体" w:cs="宋体"/>
          <w:snapToGrid w:val="0"/>
          <w:color w:val="auto"/>
          <w:kern w:val="0"/>
          <w:sz w:val="21"/>
          <w:szCs w:val="21"/>
          <w:lang w:val="en-US" w:eastAsia="zh-CN" w:bidi="ar"/>
        </w:rPr>
        <w:t xml:space="preserve">  照明灯具及其附件应无异常高温和火花放电现象。</w:t>
      </w:r>
    </w:p>
    <w:p w14:paraId="752305B7">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3"/>
        <w:rPr>
          <w:rFonts w:hint="eastAsia" w:ascii="黑体" w:hAnsi="黑体" w:eastAsia="黑体" w:cs="黑体"/>
          <w:color w:val="auto"/>
          <w:spacing w:val="8"/>
          <w:sz w:val="21"/>
          <w:szCs w:val="21"/>
          <w:lang w:val="en-US" w:eastAsia="zh-CN"/>
        </w:rPr>
      </w:pPr>
      <w:r>
        <w:rPr>
          <w:rFonts w:hint="eastAsia" w:ascii="黑体" w:hAnsi="黑体" w:eastAsia="黑体" w:cs="黑体"/>
          <w:color w:val="auto"/>
          <w:spacing w:val="8"/>
          <w:sz w:val="21"/>
          <w:szCs w:val="21"/>
          <w:lang w:val="en-US" w:eastAsia="zh-CN"/>
        </w:rPr>
        <w:t>6.4.2  开关、插座</w:t>
      </w:r>
    </w:p>
    <w:p w14:paraId="3973E5F3">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spacing w:val="8"/>
          <w:sz w:val="21"/>
          <w:szCs w:val="21"/>
          <w:lang w:val="en-US" w:eastAsia="zh-CN"/>
        </w:rPr>
      </w:pPr>
      <w:r>
        <w:rPr>
          <w:rFonts w:hint="eastAsia" w:ascii="黑体" w:hAnsi="黑体" w:eastAsia="黑体" w:cs="黑体"/>
          <w:snapToGrid w:val="0"/>
          <w:color w:val="auto"/>
          <w:kern w:val="0"/>
          <w:sz w:val="21"/>
          <w:szCs w:val="21"/>
          <w:lang w:val="en-US" w:eastAsia="zh-CN" w:bidi="ar"/>
        </w:rPr>
        <w:t xml:space="preserve">6.4.2.1  </w:t>
      </w:r>
      <w:r>
        <w:rPr>
          <w:rFonts w:hint="eastAsia" w:ascii="黑体" w:hAnsi="黑体" w:eastAsia="黑体" w:cs="黑体"/>
          <w:color w:val="auto"/>
          <w:spacing w:val="8"/>
          <w:sz w:val="21"/>
          <w:szCs w:val="21"/>
          <w:lang w:val="en-US" w:eastAsia="zh-CN"/>
        </w:rPr>
        <w:t>直观检查</w:t>
      </w:r>
    </w:p>
    <w:p w14:paraId="07DA79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6.4.2.1.1  </w:t>
      </w:r>
      <w:r>
        <w:rPr>
          <w:rFonts w:hint="eastAsia" w:ascii="宋体" w:hAnsi="宋体" w:eastAsia="宋体" w:cs="宋体"/>
          <w:snapToGrid w:val="0"/>
          <w:color w:val="auto"/>
          <w:kern w:val="0"/>
          <w:sz w:val="21"/>
          <w:szCs w:val="21"/>
          <w:lang w:val="en-US" w:eastAsia="zh-CN" w:bidi="ar"/>
        </w:rPr>
        <w:t>可燃材料仓库开关应设置在仓库外。</w:t>
      </w:r>
    </w:p>
    <w:p w14:paraId="500979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6.4.2.1.2</w:t>
      </w:r>
      <w:r>
        <w:rPr>
          <w:rFonts w:hint="eastAsia" w:ascii="宋体" w:hAnsi="宋体" w:eastAsia="宋体" w:cs="宋体"/>
          <w:snapToGrid w:val="0"/>
          <w:color w:val="auto"/>
          <w:kern w:val="0"/>
          <w:sz w:val="21"/>
          <w:szCs w:val="21"/>
          <w:lang w:val="en-US" w:eastAsia="zh-CN" w:bidi="ar"/>
        </w:rPr>
        <w:t xml:space="preserve">  当交流、直流或不同电压等级的插座安装在同一场所时，应有明显的区别和标志，且必须选择不同结构、不同规格和不能互换的插座；配套的插头应按交流、直流或不同电压等级区别使用。</w:t>
      </w:r>
    </w:p>
    <w:p w14:paraId="76CFA0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6.4.2.1.3</w:t>
      </w:r>
      <w:r>
        <w:rPr>
          <w:rFonts w:hint="eastAsia" w:ascii="宋体" w:hAnsi="宋体" w:eastAsia="宋体" w:cs="宋体"/>
          <w:snapToGrid w:val="0"/>
          <w:color w:val="auto"/>
          <w:kern w:val="0"/>
          <w:sz w:val="21"/>
          <w:szCs w:val="21"/>
          <w:lang w:val="en-US" w:eastAsia="zh-CN" w:bidi="ar"/>
        </w:rPr>
        <w:t xml:space="preserve">  插座回路应设置剩余电流</w:t>
      </w:r>
      <w:r>
        <w:rPr>
          <w:rFonts w:hint="eastAsia" w:ascii="宋体" w:hAnsi="宋体" w:cs="宋体"/>
          <w:snapToGrid w:val="0"/>
          <w:color w:val="auto"/>
          <w:kern w:val="0"/>
          <w:sz w:val="21"/>
          <w:szCs w:val="21"/>
          <w:lang w:val="en-US" w:eastAsia="zh-CN" w:bidi="ar"/>
        </w:rPr>
        <w:t>动作保护</w:t>
      </w:r>
      <w:r>
        <w:rPr>
          <w:rFonts w:hint="eastAsia" w:ascii="宋体" w:hAnsi="宋体" w:eastAsia="宋体" w:cs="宋体"/>
          <w:snapToGrid w:val="0"/>
          <w:color w:val="auto"/>
          <w:kern w:val="0"/>
          <w:sz w:val="21"/>
          <w:szCs w:val="21"/>
          <w:lang w:val="en-US" w:eastAsia="zh-CN" w:bidi="ar"/>
        </w:rPr>
        <w:t>装置。</w:t>
      </w:r>
    </w:p>
    <w:p w14:paraId="11839D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6.4.2.1.4</w:t>
      </w:r>
      <w:r>
        <w:rPr>
          <w:rFonts w:hint="eastAsia" w:ascii="宋体" w:hAnsi="宋体" w:eastAsia="宋体" w:cs="宋体"/>
          <w:snapToGrid w:val="0"/>
          <w:color w:val="auto"/>
          <w:kern w:val="0"/>
          <w:sz w:val="21"/>
          <w:szCs w:val="21"/>
          <w:lang w:val="en-US" w:eastAsia="zh-CN" w:bidi="ar"/>
        </w:rPr>
        <w:t xml:space="preserve">  导线与插座或开关连接处等应牢固可靠，螺丝应压紧无松动，无烧灼痕迹。</w:t>
      </w:r>
    </w:p>
    <w:p w14:paraId="766B60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6.4.2.1.5</w:t>
      </w:r>
      <w:r>
        <w:rPr>
          <w:rFonts w:hint="eastAsia" w:ascii="宋体" w:hAnsi="宋体" w:eastAsia="宋体" w:cs="宋体"/>
          <w:snapToGrid w:val="0"/>
          <w:color w:val="auto"/>
          <w:kern w:val="0"/>
          <w:sz w:val="21"/>
          <w:szCs w:val="21"/>
          <w:lang w:val="en-US" w:eastAsia="zh-CN" w:bidi="ar"/>
        </w:rPr>
        <w:t xml:space="preserve">  安装在装饰面上的开关、插座，其电线不得裸露在装饰层内。</w:t>
      </w:r>
    </w:p>
    <w:p w14:paraId="038D39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6.4.2.1.6</w:t>
      </w:r>
      <w:r>
        <w:rPr>
          <w:rFonts w:hint="eastAsia" w:ascii="宋体" w:hAnsi="宋体" w:eastAsia="宋体" w:cs="宋体"/>
          <w:snapToGrid w:val="0"/>
          <w:color w:val="auto"/>
          <w:kern w:val="0"/>
          <w:sz w:val="21"/>
          <w:szCs w:val="21"/>
          <w:lang w:val="en-US" w:eastAsia="zh-CN" w:bidi="ar"/>
        </w:rPr>
        <w:t xml:space="preserve">  移动式插座电源线应采用铜芯护套软线，</w:t>
      </w:r>
      <w:r>
        <w:rPr>
          <w:rFonts w:hint="eastAsia" w:ascii="宋体" w:hAnsi="宋体" w:cs="宋体"/>
          <w:snapToGrid w:val="0"/>
          <w:color w:val="auto"/>
          <w:kern w:val="0"/>
          <w:sz w:val="21"/>
          <w:szCs w:val="21"/>
          <w:lang w:val="en-US" w:eastAsia="zh-CN" w:bidi="ar"/>
        </w:rPr>
        <w:t>应</w:t>
      </w:r>
      <w:r>
        <w:rPr>
          <w:rFonts w:hint="eastAsia" w:ascii="宋体" w:hAnsi="宋体" w:eastAsia="宋体" w:cs="宋体"/>
          <w:snapToGrid w:val="0"/>
          <w:color w:val="auto"/>
          <w:kern w:val="0"/>
          <w:sz w:val="21"/>
          <w:szCs w:val="21"/>
          <w:lang w:val="en-US" w:eastAsia="zh-CN" w:bidi="ar"/>
        </w:rPr>
        <w:t>具有保护接地线，禁止串接使用及超容量使用。</w:t>
      </w:r>
    </w:p>
    <w:p w14:paraId="1C25CF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6.4.2.1.7  </w:t>
      </w:r>
      <w:r>
        <w:rPr>
          <w:rFonts w:hint="eastAsia" w:ascii="宋体" w:hAnsi="宋体" w:eastAsia="宋体" w:cs="宋体"/>
          <w:snapToGrid w:val="0"/>
          <w:color w:val="auto"/>
          <w:kern w:val="0"/>
          <w:sz w:val="21"/>
          <w:szCs w:val="21"/>
          <w:lang w:val="en-US" w:eastAsia="zh-CN" w:bidi="ar"/>
        </w:rPr>
        <w:t>落地插座面板应牢固可靠、密封良好。</w:t>
      </w:r>
      <w:r>
        <w:rPr>
          <w:rFonts w:hint="eastAsia" w:ascii="黑体" w:hAnsi="黑体" w:eastAsia="黑体" w:cs="黑体"/>
          <w:snapToGrid w:val="0"/>
          <w:color w:val="auto"/>
          <w:kern w:val="0"/>
          <w:sz w:val="21"/>
          <w:szCs w:val="21"/>
          <w:lang w:val="en-US" w:eastAsia="zh-CN" w:bidi="ar"/>
        </w:rPr>
        <w:t xml:space="preserve"> </w:t>
      </w:r>
    </w:p>
    <w:p w14:paraId="79C38A28">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spacing w:val="8"/>
          <w:sz w:val="21"/>
          <w:szCs w:val="21"/>
          <w:lang w:val="en-US" w:eastAsia="zh-CN"/>
        </w:rPr>
      </w:pPr>
      <w:r>
        <w:rPr>
          <w:rFonts w:hint="eastAsia" w:ascii="黑体" w:hAnsi="黑体" w:eastAsia="黑体" w:cs="黑体"/>
          <w:snapToGrid w:val="0"/>
          <w:color w:val="auto"/>
          <w:kern w:val="0"/>
          <w:sz w:val="21"/>
          <w:szCs w:val="21"/>
          <w:lang w:val="en-US" w:eastAsia="zh-CN" w:bidi="ar"/>
        </w:rPr>
        <w:t xml:space="preserve">6.4.2.2  </w:t>
      </w:r>
      <w:r>
        <w:rPr>
          <w:rFonts w:hint="eastAsia" w:ascii="黑体" w:hAnsi="黑体" w:eastAsia="黑体" w:cs="黑体"/>
          <w:color w:val="auto"/>
          <w:spacing w:val="8"/>
          <w:sz w:val="21"/>
          <w:szCs w:val="21"/>
          <w:lang w:val="en-US" w:eastAsia="zh-CN"/>
        </w:rPr>
        <w:t>仪器检测</w:t>
      </w:r>
    </w:p>
    <w:p w14:paraId="166FCF48">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6.4.2.2.1</w:t>
      </w:r>
      <w:r>
        <w:rPr>
          <w:rFonts w:hint="eastAsia" w:ascii="宋体" w:hAnsi="宋体" w:eastAsia="宋体" w:cs="宋体"/>
          <w:snapToGrid w:val="0"/>
          <w:color w:val="auto"/>
          <w:kern w:val="0"/>
          <w:sz w:val="21"/>
          <w:szCs w:val="21"/>
          <w:lang w:val="en-US" w:eastAsia="zh-CN" w:bidi="ar"/>
        </w:rPr>
        <w:t xml:space="preserve">  当设计无要求时，插座底边距地面高度</w:t>
      </w:r>
      <w:r>
        <w:rPr>
          <w:rFonts w:hint="eastAsia" w:ascii="宋体" w:hAnsi="宋体" w:cs="宋体"/>
          <w:snapToGrid w:val="0"/>
          <w:color w:val="auto"/>
          <w:kern w:val="0"/>
          <w:sz w:val="21"/>
          <w:szCs w:val="21"/>
          <w:lang w:val="en-US" w:eastAsia="zh-CN" w:bidi="ar"/>
        </w:rPr>
        <w:t>应</w:t>
      </w:r>
      <w:r>
        <w:rPr>
          <w:rFonts w:hint="eastAsia" w:ascii="宋体" w:hAnsi="宋体" w:eastAsia="宋体" w:cs="宋体"/>
          <w:snapToGrid w:val="0"/>
          <w:color w:val="auto"/>
          <w:kern w:val="0"/>
          <w:sz w:val="21"/>
          <w:szCs w:val="21"/>
          <w:lang w:val="en-US" w:eastAsia="zh-CN" w:bidi="ar"/>
        </w:rPr>
        <w:t>不小于0.3m</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潮湿场所应采用防溅型插座，安装高度应不低于1.5m。 </w:t>
      </w:r>
    </w:p>
    <w:p w14:paraId="05806872">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6.4.2.2.2</w:t>
      </w:r>
      <w:r>
        <w:rPr>
          <w:rFonts w:hint="eastAsia" w:ascii="宋体" w:hAnsi="宋体" w:eastAsia="宋体" w:cs="宋体"/>
          <w:snapToGrid w:val="0"/>
          <w:color w:val="auto"/>
          <w:kern w:val="0"/>
          <w:sz w:val="21"/>
          <w:szCs w:val="21"/>
          <w:lang w:val="en-US" w:eastAsia="zh-CN" w:bidi="ar"/>
        </w:rPr>
        <w:t xml:space="preserve">  插座、照明开关接线端子、触点温度不应超过表3的规定。</w:t>
      </w:r>
      <w:bookmarkStart w:id="328" w:name="_Toc23827"/>
      <w:bookmarkStart w:id="329" w:name="_Toc19967"/>
      <w:bookmarkStart w:id="330" w:name="_Toc29178"/>
      <w:bookmarkStart w:id="331" w:name="_Toc24467"/>
      <w:bookmarkStart w:id="332" w:name="_Toc14901"/>
      <w:bookmarkStart w:id="333" w:name="_Toc21658"/>
      <w:bookmarkStart w:id="334" w:name="_Toc25129"/>
      <w:bookmarkStart w:id="335" w:name="_Toc19532"/>
      <w:bookmarkStart w:id="336" w:name="_Toc6869"/>
      <w:bookmarkStart w:id="337" w:name="_Toc24635"/>
      <w:bookmarkStart w:id="338" w:name="_Toc19136"/>
      <w:bookmarkStart w:id="339" w:name="_Toc8018"/>
      <w:bookmarkStart w:id="340" w:name="_Toc20441"/>
      <w:bookmarkStart w:id="341" w:name="_Toc31053"/>
      <w:bookmarkStart w:id="342" w:name="_Toc14499"/>
      <w:bookmarkStart w:id="343" w:name="_Toc3522"/>
      <w:bookmarkStart w:id="344" w:name="_Toc23731"/>
      <w:bookmarkStart w:id="345" w:name="_Toc25403"/>
      <w:bookmarkStart w:id="346" w:name="_Toc17065"/>
      <w:bookmarkStart w:id="347" w:name="_Toc1025"/>
      <w:bookmarkStart w:id="348" w:name="_Toc7562"/>
      <w:bookmarkStart w:id="349" w:name="_Toc12455"/>
      <w:bookmarkStart w:id="350" w:name="_Toc27438"/>
      <w:bookmarkStart w:id="351" w:name="_Toc22782"/>
    </w:p>
    <w:p w14:paraId="7FF01163">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2"/>
        <w:rPr>
          <w:rFonts w:hint="eastAsia" w:ascii="黑体" w:hAnsi="黑体" w:eastAsia="黑体" w:cs="黑体"/>
          <w:color w:val="auto"/>
          <w:spacing w:val="8"/>
          <w:sz w:val="21"/>
          <w:szCs w:val="21"/>
          <w:lang w:val="en-US" w:eastAsia="zh-CN"/>
        </w:rPr>
      </w:pPr>
      <w:r>
        <w:rPr>
          <w:rFonts w:hint="eastAsia" w:ascii="黑体" w:hAnsi="黑体" w:eastAsia="黑体" w:cs="黑体"/>
          <w:snapToGrid w:val="0"/>
          <w:color w:val="auto"/>
          <w:kern w:val="0"/>
          <w:sz w:val="21"/>
          <w:szCs w:val="21"/>
          <w:lang w:val="en-US" w:eastAsia="zh-CN" w:bidi="ar"/>
        </w:rPr>
        <w:t>6.5</w:t>
      </w:r>
      <w:r>
        <w:rPr>
          <w:rFonts w:hint="eastAsia" w:ascii="黑体" w:hAnsi="黑体" w:eastAsia="黑体" w:cs="黑体"/>
          <w:color w:val="auto"/>
          <w:spacing w:val="8"/>
          <w:sz w:val="21"/>
          <w:szCs w:val="21"/>
          <w:lang w:val="en-US" w:eastAsia="zh-CN"/>
        </w:rPr>
        <w:t xml:space="preserve">  常用电器装置</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E4AD6C2">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after="157" w:afterLines="50" w:line="240" w:lineRule="auto"/>
        <w:jc w:val="left"/>
        <w:textAlignment w:val="baseline"/>
        <w:outlineLvl w:val="3"/>
        <w:rPr>
          <w:rFonts w:hint="eastAsia" w:ascii="黑体" w:hAnsi="黑体" w:eastAsia="黑体" w:cs="黑体"/>
          <w:snapToGrid w:val="0"/>
          <w:color w:val="auto"/>
          <w:kern w:val="0"/>
          <w:sz w:val="21"/>
          <w:szCs w:val="21"/>
          <w:lang w:val="en-US" w:eastAsia="zh-CN" w:bidi="ar"/>
        </w:rPr>
      </w:pPr>
      <w:bookmarkStart w:id="352" w:name="_Toc23766"/>
      <w:r>
        <w:rPr>
          <w:rFonts w:hint="eastAsia" w:ascii="黑体" w:hAnsi="黑体" w:eastAsia="黑体" w:cs="黑体"/>
          <w:snapToGrid w:val="0"/>
          <w:color w:val="auto"/>
          <w:kern w:val="0"/>
          <w:sz w:val="21"/>
          <w:szCs w:val="21"/>
          <w:lang w:val="en-US" w:eastAsia="zh-CN" w:bidi="ar"/>
        </w:rPr>
        <w:t>6.5.1  电动机</w:t>
      </w:r>
      <w:bookmarkEnd w:id="352"/>
    </w:p>
    <w:p w14:paraId="4FBD4885">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after="157" w:afterLines="50"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6.5.1.1  直观检查</w:t>
      </w:r>
    </w:p>
    <w:p w14:paraId="364818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6.5.1.1.1</w:t>
      </w:r>
      <w:r>
        <w:rPr>
          <w:rFonts w:hint="eastAsia" w:ascii="宋体" w:hAnsi="宋体" w:eastAsia="宋体" w:cs="宋体"/>
          <w:snapToGrid w:val="0"/>
          <w:color w:val="auto"/>
          <w:kern w:val="0"/>
          <w:sz w:val="21"/>
          <w:szCs w:val="21"/>
          <w:lang w:val="en-US" w:eastAsia="zh-CN" w:bidi="ar"/>
        </w:rPr>
        <w:t xml:space="preserve">  电动机外壳接地应牢固可靠，完好无损。</w:t>
      </w:r>
    </w:p>
    <w:p w14:paraId="77E34A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6.5.1.1.2</w:t>
      </w:r>
      <w:r>
        <w:rPr>
          <w:rFonts w:hint="eastAsia" w:ascii="宋体" w:hAnsi="宋体" w:eastAsia="宋体" w:cs="宋体"/>
          <w:snapToGrid w:val="0"/>
          <w:color w:val="auto"/>
          <w:kern w:val="0"/>
          <w:sz w:val="21"/>
          <w:szCs w:val="21"/>
          <w:lang w:val="en-US" w:eastAsia="zh-CN" w:bidi="ar"/>
        </w:rPr>
        <w:t xml:space="preserve">  电动机应装设短路保护和接地故障保护，并应根据具体情况分别装设过载保护、断相保护和低电压保护。</w:t>
      </w:r>
    </w:p>
    <w:p w14:paraId="1B81A9B3">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240" w:lineRule="auto"/>
        <w:ind w:left="0" w:right="0"/>
        <w:jc w:val="left"/>
        <w:rPr>
          <w:rFonts w:hint="eastAsia" w:ascii="宋体" w:hAnsi="宋体" w:eastAsia="宋体" w:cs="宋体"/>
          <w:color w:val="auto"/>
          <w:spacing w:val="8"/>
          <w:kern w:val="2"/>
          <w:sz w:val="21"/>
          <w:szCs w:val="21"/>
          <w:lang w:val="en-US" w:eastAsia="zh-CN" w:bidi="ar-SA"/>
        </w:rPr>
      </w:pPr>
      <w:r>
        <w:rPr>
          <w:rFonts w:hint="eastAsia" w:ascii="黑体" w:hAnsi="黑体" w:eastAsia="黑体" w:cs="黑体"/>
          <w:snapToGrid w:val="0"/>
          <w:color w:val="auto"/>
          <w:kern w:val="0"/>
          <w:sz w:val="21"/>
          <w:szCs w:val="21"/>
          <w:lang w:val="en-US" w:eastAsia="zh-CN" w:bidi="ar"/>
        </w:rPr>
        <w:t>6.5.1.1.3</w:t>
      </w:r>
      <w:r>
        <w:rPr>
          <w:rFonts w:hint="eastAsia" w:ascii="宋体" w:hAnsi="宋体" w:eastAsia="宋体" w:cs="宋体"/>
          <w:snapToGrid w:val="0"/>
          <w:color w:val="auto"/>
          <w:kern w:val="0"/>
          <w:sz w:val="21"/>
          <w:szCs w:val="21"/>
          <w:lang w:val="en-US" w:eastAsia="zh-CN" w:bidi="ar"/>
        </w:rPr>
        <w:t xml:space="preserve">  电动机及控制柜各接线端子应接触良好、无松动；电气元器件直观应整洁齐全，触头应无熔焊粘连变形和严重氧化锈蚀等痕迹</w:t>
      </w:r>
      <w:r>
        <w:rPr>
          <w:rFonts w:hint="eastAsia" w:ascii="宋体" w:hAnsi="宋体" w:eastAsia="宋体" w:cs="宋体"/>
          <w:color w:val="auto"/>
          <w:spacing w:val="8"/>
          <w:kern w:val="2"/>
          <w:sz w:val="21"/>
          <w:szCs w:val="21"/>
          <w:lang w:val="en-US" w:eastAsia="zh-CN" w:bidi="ar-SA"/>
        </w:rPr>
        <w:t>。</w:t>
      </w:r>
    </w:p>
    <w:p w14:paraId="47C79AF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6.5.1.1.4</w:t>
      </w:r>
      <w:r>
        <w:rPr>
          <w:rFonts w:hint="eastAsia" w:ascii="宋体" w:hAnsi="宋体" w:eastAsia="宋体" w:cs="宋体"/>
          <w:snapToGrid w:val="0"/>
          <w:color w:val="auto"/>
          <w:kern w:val="0"/>
          <w:sz w:val="21"/>
          <w:szCs w:val="21"/>
          <w:lang w:val="en-US" w:eastAsia="zh-CN" w:bidi="ar"/>
        </w:rPr>
        <w:t xml:space="preserve">  电动机运行时应无异常声响。</w:t>
      </w:r>
    </w:p>
    <w:p w14:paraId="0BA537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6.5.1.1.5</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电动机空气冷却装置运转应正常。</w:t>
      </w:r>
    </w:p>
    <w:p w14:paraId="0C9A81A9">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after="157" w:afterLines="50" w:line="240" w:lineRule="auto"/>
        <w:jc w:val="left"/>
        <w:textAlignment w:val="baseline"/>
        <w:rPr>
          <w:rFonts w:hint="eastAsia" w:ascii="黑体" w:hAnsi="黑体" w:eastAsia="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6.5.1.2  仪器检测</w:t>
      </w:r>
    </w:p>
    <w:p w14:paraId="5AB44129">
      <w:pPr>
        <w:keepNext w:val="0"/>
        <w:keepLines w:val="0"/>
        <w:pageBreakBefore w:val="0"/>
        <w:widowControl/>
        <w:suppressLineNumbers w:val="0"/>
        <w:kinsoku w:val="0"/>
        <w:wordWrap/>
        <w:overflowPunct/>
        <w:topLinePunct w:val="0"/>
        <w:autoSpaceDE/>
        <w:autoSpaceDN/>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6.5.1.2.1</w:t>
      </w:r>
      <w:r>
        <w:rPr>
          <w:rFonts w:hint="eastAsia" w:ascii="宋体" w:hAnsi="宋体" w:eastAsia="宋体" w:cs="宋体"/>
          <w:snapToGrid w:val="0"/>
          <w:color w:val="auto"/>
          <w:kern w:val="0"/>
          <w:sz w:val="21"/>
          <w:szCs w:val="21"/>
          <w:lang w:val="en-US" w:eastAsia="zh-CN" w:bidi="ar"/>
        </w:rPr>
        <w:t xml:space="preserve">  电动机各部分的最高允许温度不应超过制造商的规定。</w:t>
      </w:r>
    </w:p>
    <w:p w14:paraId="7FF9B9FA">
      <w:pPr>
        <w:keepNext w:val="0"/>
        <w:keepLines w:val="0"/>
        <w:pageBreakBefore w:val="0"/>
        <w:widowControl/>
        <w:suppressLineNumbers w:val="0"/>
        <w:kinsoku w:val="0"/>
        <w:wordWrap/>
        <w:overflowPunct/>
        <w:topLinePunct w:val="0"/>
        <w:autoSpaceDE/>
        <w:autoSpaceDN/>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6.5.1.2.2  </w:t>
      </w:r>
      <w:r>
        <w:rPr>
          <w:rFonts w:hint="eastAsia" w:ascii="宋体" w:hAnsi="宋体" w:eastAsia="宋体" w:cs="宋体"/>
          <w:snapToGrid w:val="0"/>
          <w:color w:val="auto"/>
          <w:kern w:val="0"/>
          <w:sz w:val="21"/>
          <w:szCs w:val="21"/>
          <w:lang w:val="en-US" w:eastAsia="zh-CN" w:bidi="ar"/>
        </w:rPr>
        <w:t>电动机滑动轴承的温度不应超过80℃，滚动轴承的温度不应超过95℃。</w:t>
      </w:r>
    </w:p>
    <w:p w14:paraId="46AEE3E2">
      <w:pPr>
        <w:keepNext w:val="0"/>
        <w:keepLines w:val="0"/>
        <w:pageBreakBefore w:val="0"/>
        <w:widowControl/>
        <w:suppressLineNumbers w:val="0"/>
        <w:kinsoku w:val="0"/>
        <w:wordWrap/>
        <w:overflowPunct/>
        <w:topLinePunct w:val="0"/>
        <w:autoSpaceDE/>
        <w:autoSpaceDN/>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6.5.1.2.3 </w:t>
      </w:r>
      <w:r>
        <w:rPr>
          <w:rFonts w:hint="eastAsia" w:ascii="宋体" w:hAnsi="宋体" w:eastAsia="宋体" w:cs="宋体"/>
          <w:snapToGrid w:val="0"/>
          <w:color w:val="auto"/>
          <w:kern w:val="0"/>
          <w:sz w:val="21"/>
          <w:szCs w:val="21"/>
          <w:lang w:val="en-US" w:eastAsia="zh-CN" w:bidi="ar"/>
        </w:rPr>
        <w:t xml:space="preserve"> 电气元器件的触头，接线端子等的温度，不应超过表3中的数值。</w:t>
      </w:r>
    </w:p>
    <w:p w14:paraId="1F02A55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6.5.1.2.4</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电动机电气连接点、壳体等不应有打火放电现象。</w:t>
      </w:r>
    </w:p>
    <w:p w14:paraId="22AE7389">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after="157" w:afterLines="50" w:line="240" w:lineRule="auto"/>
        <w:jc w:val="left"/>
        <w:textAlignment w:val="baseline"/>
        <w:outlineLvl w:val="3"/>
        <w:rPr>
          <w:rFonts w:hint="eastAsia" w:ascii="黑体" w:hAnsi="黑体" w:eastAsia="黑体" w:cs="黑体"/>
          <w:snapToGrid w:val="0"/>
          <w:color w:val="auto"/>
          <w:kern w:val="0"/>
          <w:sz w:val="21"/>
          <w:szCs w:val="21"/>
          <w:lang w:val="en-US" w:eastAsia="zh-CN" w:bidi="ar"/>
        </w:rPr>
      </w:pPr>
      <w:bookmarkStart w:id="353" w:name="_Toc10425"/>
      <w:r>
        <w:rPr>
          <w:rFonts w:hint="eastAsia" w:ascii="黑体" w:hAnsi="黑体" w:eastAsia="黑体" w:cs="黑体"/>
          <w:snapToGrid w:val="0"/>
          <w:color w:val="auto"/>
          <w:kern w:val="0"/>
          <w:sz w:val="21"/>
          <w:szCs w:val="21"/>
          <w:lang w:val="en-US" w:eastAsia="zh-CN" w:bidi="ar"/>
        </w:rPr>
        <w:t>6.5.2  稳压整流设备</w:t>
      </w:r>
      <w:bookmarkEnd w:id="353"/>
    </w:p>
    <w:p w14:paraId="61C6F78A">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after="157" w:afterLines="50" w:line="240" w:lineRule="auto"/>
        <w:jc w:val="left"/>
        <w:textAlignment w:val="baseline"/>
        <w:rPr>
          <w:rFonts w:hint="eastAsia" w:ascii="黑体" w:hAnsi="黑体" w:eastAsia="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6.5.2.1  直观检查</w:t>
      </w:r>
    </w:p>
    <w:p w14:paraId="077F12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6.5.2.1.1 </w:t>
      </w:r>
      <w:r>
        <w:rPr>
          <w:rFonts w:hint="eastAsia" w:ascii="宋体" w:hAnsi="宋体" w:eastAsia="宋体" w:cs="宋体"/>
          <w:snapToGrid w:val="0"/>
          <w:color w:val="auto"/>
          <w:kern w:val="0"/>
          <w:sz w:val="21"/>
          <w:szCs w:val="21"/>
          <w:lang w:val="en-US" w:eastAsia="zh-CN" w:bidi="ar"/>
        </w:rPr>
        <w:t xml:space="preserve"> 柜体内导线连接应良好、无松动；焊接连接的导线应无脱焊、虚焊、碰壳及短路。</w:t>
      </w:r>
    </w:p>
    <w:p w14:paraId="0F471B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6.5.2.1.2</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用于整流器保护的快速熔断器的型号和规格，应符合设计规定，不得任意调换或代用。</w:t>
      </w:r>
    </w:p>
    <w:p w14:paraId="68E0ED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6.5.2.1.3</w:t>
      </w:r>
      <w:r>
        <w:rPr>
          <w:rFonts w:hint="eastAsia" w:ascii="宋体" w:hAnsi="宋体" w:eastAsia="宋体" w:cs="宋体"/>
          <w:snapToGrid w:val="0"/>
          <w:color w:val="auto"/>
          <w:kern w:val="0"/>
          <w:sz w:val="21"/>
          <w:szCs w:val="21"/>
          <w:lang w:val="en-US" w:eastAsia="zh-CN" w:bidi="ar"/>
        </w:rPr>
        <w:t xml:space="preserve">  整流器的冷却系统应运转正常。</w:t>
      </w:r>
    </w:p>
    <w:p w14:paraId="100F0F7B">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after="157" w:afterLines="50" w:line="240" w:lineRule="auto"/>
        <w:ind w:firstLine="0" w:firstLineChars="0"/>
        <w:jc w:val="left"/>
        <w:textAlignment w:val="baseline"/>
        <w:rPr>
          <w:rFonts w:hint="eastAsia" w:ascii="黑体" w:hAnsi="黑体" w:eastAsia="黑体" w:cs="黑体"/>
          <w:b w:val="0"/>
          <w:bCs w:val="0"/>
          <w:snapToGrid w:val="0"/>
          <w:color w:val="auto"/>
          <w:kern w:val="0"/>
          <w:sz w:val="21"/>
          <w:szCs w:val="21"/>
          <w:lang w:val="en-US" w:eastAsia="zh-CN" w:bidi="ar"/>
        </w:rPr>
      </w:pPr>
      <w:r>
        <w:rPr>
          <w:rFonts w:hint="eastAsia" w:ascii="黑体" w:hAnsi="黑体" w:eastAsia="黑体" w:cs="黑体"/>
          <w:b w:val="0"/>
          <w:bCs w:val="0"/>
          <w:snapToGrid w:val="0"/>
          <w:color w:val="auto"/>
          <w:kern w:val="0"/>
          <w:sz w:val="21"/>
          <w:szCs w:val="21"/>
          <w:lang w:val="en-US" w:eastAsia="zh-CN" w:bidi="ar"/>
        </w:rPr>
        <w:t>6.5.2.2  仪器检测</w:t>
      </w:r>
    </w:p>
    <w:p w14:paraId="3AD914E6">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6.5.2.2.1</w:t>
      </w:r>
      <w:r>
        <w:rPr>
          <w:rFonts w:hint="eastAsia" w:ascii="宋体" w:hAnsi="宋体" w:eastAsia="宋体" w:cs="宋体"/>
          <w:snapToGrid w:val="0"/>
          <w:color w:val="auto"/>
          <w:kern w:val="0"/>
          <w:sz w:val="21"/>
          <w:szCs w:val="21"/>
          <w:lang w:val="en-US" w:eastAsia="zh-CN" w:bidi="ar"/>
        </w:rPr>
        <w:t xml:space="preserve">  测量整流变压器的线圈温升不应大于60℃。</w:t>
      </w:r>
    </w:p>
    <w:p w14:paraId="1F4FD16F">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6.5.2.2.2</w:t>
      </w:r>
      <w:r>
        <w:rPr>
          <w:rFonts w:hint="eastAsia" w:ascii="宋体" w:hAnsi="宋体" w:eastAsia="宋体" w:cs="宋体"/>
          <w:snapToGrid w:val="0"/>
          <w:color w:val="auto"/>
          <w:kern w:val="0"/>
          <w:sz w:val="21"/>
          <w:szCs w:val="21"/>
          <w:lang w:val="en-US" w:eastAsia="zh-CN" w:bidi="ar"/>
        </w:rPr>
        <w:t xml:space="preserve">  测量各种导线、母线及其连接点和接线端子温度，应符合表3</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表4</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表</w:t>
      </w:r>
      <w:r>
        <w:rPr>
          <w:rFonts w:hint="eastAsia" w:ascii="宋体" w:hAnsi="宋体" w:cs="宋体"/>
          <w:snapToGrid w:val="0"/>
          <w:color w:val="auto"/>
          <w:kern w:val="0"/>
          <w:sz w:val="21"/>
          <w:szCs w:val="21"/>
          <w:lang w:val="en-US" w:eastAsia="zh-CN" w:bidi="ar"/>
        </w:rPr>
        <w:t>6</w:t>
      </w:r>
      <w:r>
        <w:rPr>
          <w:rFonts w:hint="eastAsia" w:ascii="宋体" w:hAnsi="宋体" w:eastAsia="宋体" w:cs="宋体"/>
          <w:snapToGrid w:val="0"/>
          <w:color w:val="auto"/>
          <w:kern w:val="0"/>
          <w:sz w:val="21"/>
          <w:szCs w:val="21"/>
          <w:lang w:val="en-US" w:eastAsia="zh-CN" w:bidi="ar"/>
        </w:rPr>
        <w:t>的规定。</w:t>
      </w:r>
    </w:p>
    <w:p w14:paraId="73279F3D">
      <w:pPr>
        <w:pStyle w:val="301"/>
        <w:bidi w:val="0"/>
        <w:rPr>
          <w:rFonts w:hint="eastAsia"/>
          <w:color w:val="auto"/>
          <w:lang w:val="en-US" w:eastAsia="zh-CN"/>
        </w:rPr>
      </w:pPr>
      <w:bookmarkStart w:id="354" w:name="_Toc13692"/>
      <w:bookmarkStart w:id="355" w:name="_Toc6307"/>
      <w:bookmarkStart w:id="356" w:name="_Toc24392"/>
      <w:bookmarkStart w:id="357" w:name="_Toc11673"/>
      <w:bookmarkStart w:id="358" w:name="_Toc22166"/>
      <w:bookmarkStart w:id="359" w:name="_Toc31319"/>
      <w:bookmarkStart w:id="360" w:name="_Toc8513"/>
      <w:bookmarkStart w:id="361" w:name="_Toc21488"/>
      <w:bookmarkStart w:id="362" w:name="_Toc18159"/>
      <w:bookmarkStart w:id="363" w:name="_Toc5125"/>
      <w:r>
        <w:rPr>
          <w:rFonts w:hint="eastAsia"/>
          <w:color w:val="auto"/>
          <w:lang w:val="en-US" w:eastAsia="zh-CN"/>
        </w:rPr>
        <w:t>交流低压母线各部位的允许温升</w:t>
      </w:r>
      <w:bookmarkEnd w:id="354"/>
      <w:bookmarkEnd w:id="355"/>
      <w:bookmarkEnd w:id="356"/>
      <w:bookmarkEnd w:id="357"/>
      <w:bookmarkEnd w:id="358"/>
      <w:bookmarkEnd w:id="359"/>
      <w:bookmarkEnd w:id="360"/>
      <w:bookmarkEnd w:id="361"/>
      <w:bookmarkEnd w:id="362"/>
      <w:bookmarkEnd w:id="363"/>
    </w:p>
    <w:tbl>
      <w:tblPr>
        <w:tblStyle w:val="89"/>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3009"/>
        <w:gridCol w:w="4347"/>
      </w:tblGrid>
      <w:tr w14:paraId="1571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2" w:type="dxa"/>
            <w:gridSpan w:val="2"/>
            <w:vAlign w:val="center"/>
          </w:tcPr>
          <w:p w14:paraId="00BF02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部      位</w:t>
            </w:r>
          </w:p>
        </w:tc>
        <w:tc>
          <w:tcPr>
            <w:tcW w:w="4347" w:type="dxa"/>
            <w:vAlign w:val="center"/>
          </w:tcPr>
          <w:p w14:paraId="122132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周围空气温度为40℃的允许温升</w:t>
            </w:r>
          </w:p>
          <w:p w14:paraId="2F2BA8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w:t>
            </w:r>
          </w:p>
        </w:tc>
      </w:tr>
      <w:tr w14:paraId="7440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Merge w:val="restart"/>
            <w:vAlign w:val="center"/>
          </w:tcPr>
          <w:p w14:paraId="635155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母线上插接式触点</w:t>
            </w:r>
          </w:p>
        </w:tc>
        <w:tc>
          <w:tcPr>
            <w:tcW w:w="3009" w:type="dxa"/>
            <w:vAlign w:val="center"/>
          </w:tcPr>
          <w:p w14:paraId="137058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铜母线</w:t>
            </w:r>
          </w:p>
        </w:tc>
        <w:tc>
          <w:tcPr>
            <w:tcW w:w="4347" w:type="dxa"/>
            <w:vAlign w:val="center"/>
          </w:tcPr>
          <w:p w14:paraId="6EE182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60</w:t>
            </w:r>
          </w:p>
        </w:tc>
      </w:tr>
      <w:tr w14:paraId="65CF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Merge w:val="continue"/>
            <w:vAlign w:val="center"/>
          </w:tcPr>
          <w:p w14:paraId="24706D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360" w:firstLineChars="200"/>
              <w:jc w:val="center"/>
              <w:textAlignment w:val="baseline"/>
              <w:rPr>
                <w:rFonts w:hint="eastAsia" w:ascii="宋体" w:hAnsi="宋体" w:eastAsia="宋体" w:cs="宋体"/>
                <w:snapToGrid w:val="0"/>
                <w:color w:val="auto"/>
                <w:kern w:val="0"/>
                <w:sz w:val="18"/>
                <w:szCs w:val="18"/>
                <w:lang w:val="en-US" w:eastAsia="zh-CN" w:bidi="ar"/>
              </w:rPr>
            </w:pPr>
          </w:p>
        </w:tc>
        <w:tc>
          <w:tcPr>
            <w:tcW w:w="3009" w:type="dxa"/>
            <w:vAlign w:val="center"/>
          </w:tcPr>
          <w:p w14:paraId="0A8AB5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镀锡铝母线</w:t>
            </w:r>
          </w:p>
        </w:tc>
        <w:tc>
          <w:tcPr>
            <w:tcW w:w="4347" w:type="dxa"/>
            <w:vAlign w:val="center"/>
          </w:tcPr>
          <w:p w14:paraId="2CD0830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55</w:t>
            </w:r>
          </w:p>
        </w:tc>
      </w:tr>
      <w:tr w14:paraId="189A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Merge w:val="restart"/>
            <w:vAlign w:val="center"/>
          </w:tcPr>
          <w:p w14:paraId="21BF3E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母线相互连接处</w:t>
            </w:r>
          </w:p>
        </w:tc>
        <w:tc>
          <w:tcPr>
            <w:tcW w:w="3009" w:type="dxa"/>
            <w:vAlign w:val="center"/>
          </w:tcPr>
          <w:p w14:paraId="3E4A67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铜--铜</w:t>
            </w:r>
          </w:p>
        </w:tc>
        <w:tc>
          <w:tcPr>
            <w:tcW w:w="4347" w:type="dxa"/>
            <w:vAlign w:val="center"/>
          </w:tcPr>
          <w:p w14:paraId="0BEAEA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50</w:t>
            </w:r>
          </w:p>
        </w:tc>
      </w:tr>
      <w:tr w14:paraId="1147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Merge w:val="continue"/>
            <w:vAlign w:val="center"/>
          </w:tcPr>
          <w:p w14:paraId="02662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360" w:firstLineChars="200"/>
              <w:jc w:val="center"/>
              <w:textAlignment w:val="baseline"/>
              <w:rPr>
                <w:rFonts w:hint="eastAsia" w:ascii="宋体" w:hAnsi="宋体" w:eastAsia="宋体" w:cs="宋体"/>
                <w:snapToGrid w:val="0"/>
                <w:color w:val="auto"/>
                <w:kern w:val="0"/>
                <w:sz w:val="18"/>
                <w:szCs w:val="18"/>
                <w:lang w:val="en-US" w:eastAsia="zh-CN" w:bidi="ar"/>
              </w:rPr>
            </w:pPr>
          </w:p>
        </w:tc>
        <w:tc>
          <w:tcPr>
            <w:tcW w:w="3009" w:type="dxa"/>
            <w:vAlign w:val="center"/>
          </w:tcPr>
          <w:p w14:paraId="052247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铜搪锡--铜搪锡</w:t>
            </w:r>
          </w:p>
        </w:tc>
        <w:tc>
          <w:tcPr>
            <w:tcW w:w="4347" w:type="dxa"/>
            <w:vAlign w:val="center"/>
          </w:tcPr>
          <w:p w14:paraId="799E63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60</w:t>
            </w:r>
          </w:p>
        </w:tc>
      </w:tr>
      <w:tr w14:paraId="66B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Merge w:val="continue"/>
            <w:vAlign w:val="center"/>
          </w:tcPr>
          <w:p w14:paraId="76750A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360" w:firstLineChars="200"/>
              <w:jc w:val="center"/>
              <w:textAlignment w:val="baseline"/>
              <w:rPr>
                <w:rFonts w:hint="eastAsia" w:ascii="宋体" w:hAnsi="宋体" w:eastAsia="宋体" w:cs="宋体"/>
                <w:snapToGrid w:val="0"/>
                <w:color w:val="auto"/>
                <w:kern w:val="0"/>
                <w:sz w:val="18"/>
                <w:szCs w:val="18"/>
                <w:lang w:val="en-US" w:eastAsia="zh-CN" w:bidi="ar"/>
              </w:rPr>
            </w:pPr>
          </w:p>
        </w:tc>
        <w:tc>
          <w:tcPr>
            <w:tcW w:w="3009" w:type="dxa"/>
            <w:vAlign w:val="center"/>
          </w:tcPr>
          <w:p w14:paraId="5EBFCB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铜镀银--铝搪锡</w:t>
            </w:r>
          </w:p>
        </w:tc>
        <w:tc>
          <w:tcPr>
            <w:tcW w:w="4347" w:type="dxa"/>
            <w:vAlign w:val="center"/>
          </w:tcPr>
          <w:p w14:paraId="3825FA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80</w:t>
            </w:r>
          </w:p>
        </w:tc>
      </w:tr>
      <w:tr w14:paraId="5BFF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Merge w:val="continue"/>
            <w:vAlign w:val="center"/>
          </w:tcPr>
          <w:p w14:paraId="0865A8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360" w:firstLineChars="200"/>
              <w:jc w:val="center"/>
              <w:textAlignment w:val="baseline"/>
              <w:rPr>
                <w:rFonts w:hint="eastAsia" w:ascii="宋体" w:hAnsi="宋体" w:eastAsia="宋体" w:cs="宋体"/>
                <w:snapToGrid w:val="0"/>
                <w:color w:val="auto"/>
                <w:kern w:val="0"/>
                <w:sz w:val="18"/>
                <w:szCs w:val="18"/>
                <w:lang w:val="en-US" w:eastAsia="zh-CN" w:bidi="ar"/>
              </w:rPr>
            </w:pPr>
          </w:p>
        </w:tc>
        <w:tc>
          <w:tcPr>
            <w:tcW w:w="3009" w:type="dxa"/>
            <w:vAlign w:val="center"/>
          </w:tcPr>
          <w:p w14:paraId="098F00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铝搪锡--铝搪锡</w:t>
            </w:r>
          </w:p>
        </w:tc>
        <w:tc>
          <w:tcPr>
            <w:tcW w:w="4347" w:type="dxa"/>
            <w:vAlign w:val="center"/>
          </w:tcPr>
          <w:p w14:paraId="553C49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55</w:t>
            </w:r>
          </w:p>
        </w:tc>
      </w:tr>
      <w:tr w14:paraId="41E8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Merge w:val="continue"/>
            <w:vAlign w:val="center"/>
          </w:tcPr>
          <w:p w14:paraId="486604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360" w:firstLineChars="200"/>
              <w:jc w:val="center"/>
              <w:textAlignment w:val="baseline"/>
              <w:rPr>
                <w:rFonts w:hint="eastAsia" w:ascii="宋体" w:hAnsi="宋体" w:eastAsia="宋体" w:cs="宋体"/>
                <w:snapToGrid w:val="0"/>
                <w:color w:val="auto"/>
                <w:kern w:val="0"/>
                <w:sz w:val="18"/>
                <w:szCs w:val="18"/>
                <w:lang w:val="en-US" w:eastAsia="zh-CN" w:bidi="ar"/>
              </w:rPr>
            </w:pPr>
          </w:p>
        </w:tc>
        <w:tc>
          <w:tcPr>
            <w:tcW w:w="3009" w:type="dxa"/>
            <w:vAlign w:val="center"/>
          </w:tcPr>
          <w:p w14:paraId="1AB68D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铝搪锡--铜搪锡</w:t>
            </w:r>
          </w:p>
        </w:tc>
        <w:tc>
          <w:tcPr>
            <w:tcW w:w="4347" w:type="dxa"/>
            <w:vAlign w:val="center"/>
          </w:tcPr>
          <w:p w14:paraId="092D51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55</w:t>
            </w:r>
          </w:p>
        </w:tc>
      </w:tr>
    </w:tbl>
    <w:p w14:paraId="332AFA61">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3"/>
        <w:rPr>
          <w:rFonts w:hint="eastAsia" w:ascii="黑体" w:hAnsi="黑体" w:eastAsia="黑体" w:cs="黑体"/>
          <w:color w:val="auto"/>
          <w:spacing w:val="8"/>
          <w:sz w:val="21"/>
          <w:szCs w:val="21"/>
          <w:lang w:val="en-US" w:eastAsia="zh-CN"/>
        </w:rPr>
      </w:pPr>
      <w:bookmarkStart w:id="364" w:name="_Toc18859"/>
      <w:r>
        <w:rPr>
          <w:rFonts w:hint="eastAsia" w:ascii="黑体" w:hAnsi="黑体" w:eastAsia="黑体" w:cs="黑体"/>
          <w:color w:val="auto"/>
          <w:spacing w:val="8"/>
          <w:sz w:val="21"/>
          <w:szCs w:val="21"/>
          <w:lang w:val="en-US" w:eastAsia="zh-CN"/>
        </w:rPr>
        <w:t>6.5.3  电热器具</w:t>
      </w:r>
      <w:bookmarkEnd w:id="364"/>
    </w:p>
    <w:p w14:paraId="5D688C2E">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rPr>
          <w:rFonts w:hint="eastAsia" w:ascii="黑体" w:hAnsi="黑体" w:eastAsia="黑体" w:cs="黑体"/>
          <w:color w:val="auto"/>
          <w:spacing w:val="8"/>
          <w:sz w:val="21"/>
          <w:szCs w:val="21"/>
          <w:lang w:val="en-US" w:eastAsia="zh-CN"/>
        </w:rPr>
      </w:pPr>
      <w:r>
        <w:rPr>
          <w:rFonts w:hint="eastAsia" w:ascii="黑体" w:hAnsi="黑体" w:eastAsia="黑体" w:cs="黑体"/>
          <w:color w:val="auto"/>
          <w:spacing w:val="8"/>
          <w:sz w:val="21"/>
          <w:szCs w:val="21"/>
          <w:lang w:val="en-US" w:eastAsia="zh-CN"/>
        </w:rPr>
        <w:t>6.5.3.1  直观检查</w:t>
      </w:r>
    </w:p>
    <w:p w14:paraId="16EFDB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6.5.3.1.1 </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功率为</w:t>
      </w:r>
      <w:r>
        <w:rPr>
          <w:rFonts w:hint="eastAsia" w:ascii="宋体" w:hAnsi="宋体" w:eastAsia="宋体" w:cs="宋体"/>
          <w:snapToGrid w:val="0"/>
          <w:color w:val="auto"/>
          <w:kern w:val="0"/>
          <w:sz w:val="21"/>
          <w:szCs w:val="21"/>
          <w:lang w:val="en-US" w:eastAsia="zh-CN" w:bidi="ar"/>
        </w:rPr>
        <w:t>3kW</w:t>
      </w:r>
      <w:r>
        <w:rPr>
          <w:rFonts w:hint="eastAsia" w:ascii="宋体" w:hAnsi="宋体" w:cs="宋体"/>
          <w:snapToGrid w:val="0"/>
          <w:color w:val="auto"/>
          <w:kern w:val="0"/>
          <w:sz w:val="21"/>
          <w:szCs w:val="21"/>
          <w:lang w:val="en-US" w:eastAsia="zh-CN" w:bidi="ar"/>
        </w:rPr>
        <w:t>及以上</w:t>
      </w:r>
      <w:r>
        <w:rPr>
          <w:rFonts w:hint="eastAsia" w:ascii="宋体" w:hAnsi="宋体" w:eastAsia="宋体" w:cs="宋体"/>
          <w:snapToGrid w:val="0"/>
          <w:color w:val="auto"/>
          <w:kern w:val="0"/>
          <w:sz w:val="21"/>
          <w:szCs w:val="21"/>
          <w:lang w:val="en-US" w:eastAsia="zh-CN" w:bidi="ar"/>
        </w:rPr>
        <w:t>的固定式电热器具</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应符合下列规定：</w:t>
      </w:r>
    </w:p>
    <w:p w14:paraId="146C32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840" w:leftChars="200" w:hanging="420" w:hanging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a)  电热器具应采用单独回路供电，电源线应装设短路、过载及接地故障保护电器；导线和热元件的接线处应紧固，引入线处应采用耐高温的绝缘材料予以保护；</w:t>
      </w:r>
    </w:p>
    <w:p w14:paraId="313325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b)  电热器具的电源线，装设刀开关和短路保护电器处，其可触及的外露导电部分应接地。</w:t>
      </w:r>
    </w:p>
    <w:p w14:paraId="230B8DBF">
      <w:pPr>
        <w:keepNext w:val="0"/>
        <w:keepLines w:val="0"/>
        <w:pageBreakBefore w:val="0"/>
        <w:widowControl/>
        <w:suppressLineNumbers w:val="0"/>
        <w:kinsoku w:val="0"/>
        <w:wordWrap/>
        <w:overflowPunct/>
        <w:topLinePunct w:val="0"/>
        <w:autoSpaceDE/>
        <w:autoSpaceDN/>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6.5.3.1.2 </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功率为</w:t>
      </w:r>
      <w:r>
        <w:rPr>
          <w:rFonts w:hint="eastAsia" w:ascii="宋体" w:hAnsi="宋体" w:eastAsia="宋体" w:cs="宋体"/>
          <w:snapToGrid w:val="0"/>
          <w:color w:val="auto"/>
          <w:kern w:val="0"/>
          <w:sz w:val="21"/>
          <w:szCs w:val="21"/>
          <w:lang w:val="en-US" w:eastAsia="zh-CN" w:bidi="ar"/>
        </w:rPr>
        <w:t>3kW以下</w:t>
      </w:r>
      <w:r>
        <w:rPr>
          <w:rFonts w:hint="eastAsia" w:ascii="宋体" w:hAnsi="宋体" w:cs="宋体"/>
          <w:snapToGrid w:val="0"/>
          <w:color w:val="auto"/>
          <w:kern w:val="0"/>
          <w:sz w:val="21"/>
          <w:szCs w:val="21"/>
          <w:lang w:val="en-US" w:eastAsia="zh-CN" w:bidi="ar"/>
        </w:rPr>
        <w:t>的</w:t>
      </w:r>
      <w:r>
        <w:rPr>
          <w:rFonts w:hint="eastAsia" w:ascii="宋体" w:hAnsi="宋体" w:eastAsia="宋体" w:cs="宋体"/>
          <w:snapToGrid w:val="0"/>
          <w:color w:val="auto"/>
          <w:kern w:val="0"/>
          <w:sz w:val="21"/>
          <w:szCs w:val="21"/>
          <w:lang w:val="en-US" w:eastAsia="zh-CN" w:bidi="ar"/>
        </w:rPr>
        <w:t>可移动式电热器具</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应放在不燃材料制作的工作台上，应采用专用插座，引出线应采用石棉、瓷管等耐高温绝缘套管保护。</w:t>
      </w:r>
    </w:p>
    <w:p w14:paraId="7F102FFB">
      <w:pPr>
        <w:pStyle w:val="290"/>
        <w:keepNext w:val="0"/>
        <w:keepLines w:val="0"/>
        <w:pageBreakBefore w:val="0"/>
        <w:widowControl/>
        <w:numPr>
          <w:ilvl w:val="4"/>
          <w:numId w:val="0"/>
        </w:numPr>
        <w:kinsoku/>
        <w:wordWrap/>
        <w:overflowPunct/>
        <w:topLinePunct w:val="0"/>
        <w:autoSpaceDE/>
        <w:autoSpaceDN/>
        <w:bidi w:val="0"/>
        <w:adjustRightInd/>
        <w:snapToGrid/>
        <w:spacing w:line="240" w:lineRule="auto"/>
        <w:textAlignment w:val="auto"/>
        <w:outlineLvl w:val="9"/>
        <w:rPr>
          <w:rFonts w:hint="eastAsia" w:ascii="黑体" w:hAnsi="黑体" w:eastAsia="黑体" w:cs="黑体"/>
          <w:snapToGrid w:val="0"/>
          <w:color w:val="auto"/>
          <w:spacing w:val="8"/>
          <w:kern w:val="0"/>
          <w:sz w:val="21"/>
          <w:szCs w:val="21"/>
          <w:lang w:val="en-US" w:eastAsia="zh-CN"/>
        </w:rPr>
      </w:pPr>
      <w:r>
        <w:rPr>
          <w:rFonts w:hint="eastAsia" w:hAnsi="黑体" w:cs="黑体"/>
          <w:snapToGrid w:val="0"/>
          <w:color w:val="auto"/>
          <w:spacing w:val="8"/>
          <w:kern w:val="0"/>
          <w:sz w:val="21"/>
          <w:szCs w:val="21"/>
          <w:lang w:val="en-US" w:eastAsia="zh-CN"/>
        </w:rPr>
        <w:t>6</w:t>
      </w:r>
      <w:r>
        <w:rPr>
          <w:rFonts w:hint="eastAsia" w:ascii="黑体" w:hAnsi="黑体" w:eastAsia="黑体" w:cs="黑体"/>
          <w:snapToGrid w:val="0"/>
          <w:color w:val="auto"/>
          <w:spacing w:val="8"/>
          <w:kern w:val="0"/>
          <w:sz w:val="21"/>
          <w:szCs w:val="21"/>
          <w:lang w:val="en-US" w:eastAsia="zh-CN"/>
        </w:rPr>
        <w:t>.5.3.2  仪器检测</w:t>
      </w:r>
    </w:p>
    <w:p w14:paraId="2BF8AFDB">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6.5.3.2.1</w:t>
      </w:r>
      <w:r>
        <w:rPr>
          <w:rFonts w:hint="eastAsia" w:ascii="宋体" w:hAnsi="宋体" w:eastAsia="宋体" w:cs="宋体"/>
          <w:snapToGrid w:val="0"/>
          <w:color w:val="auto"/>
          <w:kern w:val="0"/>
          <w:sz w:val="21"/>
          <w:szCs w:val="21"/>
          <w:lang w:val="en-US" w:eastAsia="zh-CN" w:bidi="ar"/>
        </w:rPr>
        <w:t xml:space="preserve">  电源线的温升不应超过表4中规定的数值。</w:t>
      </w:r>
    </w:p>
    <w:p w14:paraId="460AB5A5">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6.5.3.2.2 </w:t>
      </w:r>
      <w:r>
        <w:rPr>
          <w:rFonts w:hint="eastAsia" w:ascii="宋体" w:hAnsi="宋体" w:eastAsia="宋体" w:cs="宋体"/>
          <w:snapToGrid w:val="0"/>
          <w:color w:val="auto"/>
          <w:kern w:val="0"/>
          <w:sz w:val="21"/>
          <w:szCs w:val="21"/>
          <w:lang w:val="en-US" w:eastAsia="zh-CN" w:bidi="ar"/>
        </w:rPr>
        <w:t xml:space="preserve"> 电源插座、开关电器触点温升不应超过表3中规定的数值。</w:t>
      </w:r>
    </w:p>
    <w:p w14:paraId="624BDF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6.5.3.2.3 </w:t>
      </w:r>
      <w:r>
        <w:rPr>
          <w:rFonts w:hint="eastAsia" w:ascii="宋体" w:hAnsi="宋体" w:eastAsia="宋体" w:cs="宋体"/>
          <w:snapToGrid w:val="0"/>
          <w:color w:val="auto"/>
          <w:kern w:val="0"/>
          <w:sz w:val="21"/>
          <w:szCs w:val="21"/>
          <w:lang w:val="en-US" w:eastAsia="zh-CN" w:bidi="ar"/>
        </w:rPr>
        <w:t xml:space="preserve"> 电源线电流不应超过允许载流量。</w:t>
      </w:r>
    </w:p>
    <w:p w14:paraId="1FD2156F">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outlineLvl w:val="3"/>
        <w:rPr>
          <w:rFonts w:hint="eastAsia" w:ascii="黑体" w:hAnsi="黑体" w:eastAsia="黑体" w:cs="黑体"/>
          <w:color w:val="auto"/>
          <w:spacing w:val="8"/>
          <w:sz w:val="21"/>
          <w:szCs w:val="21"/>
          <w:lang w:val="en-US" w:eastAsia="zh-CN"/>
        </w:rPr>
      </w:pPr>
      <w:bookmarkStart w:id="365" w:name="_Toc14647"/>
      <w:r>
        <w:rPr>
          <w:rFonts w:hint="eastAsia" w:ascii="黑体" w:hAnsi="黑体" w:eastAsia="黑体" w:cs="黑体"/>
          <w:color w:val="auto"/>
          <w:spacing w:val="8"/>
          <w:sz w:val="21"/>
          <w:szCs w:val="21"/>
          <w:lang w:val="en-US" w:eastAsia="zh-CN"/>
        </w:rPr>
        <w:t>6.5.4  空调设备</w:t>
      </w:r>
      <w:bookmarkEnd w:id="365"/>
    </w:p>
    <w:p w14:paraId="1DBBC8E3">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0" w:beforeLines="50" w:after="0" w:afterLines="50" w:line="240" w:lineRule="auto"/>
        <w:ind w:left="0"/>
        <w:textAlignment w:val="baseline"/>
        <w:rPr>
          <w:rFonts w:hint="eastAsia" w:ascii="黑体" w:hAnsi="黑体" w:eastAsia="黑体" w:cs="黑体"/>
          <w:color w:val="auto"/>
          <w:spacing w:val="8"/>
          <w:sz w:val="21"/>
          <w:szCs w:val="21"/>
          <w:lang w:val="en-US" w:eastAsia="zh-CN"/>
        </w:rPr>
      </w:pPr>
      <w:r>
        <w:rPr>
          <w:rFonts w:hint="eastAsia" w:ascii="黑体" w:hAnsi="黑体" w:eastAsia="黑体" w:cs="黑体"/>
          <w:color w:val="auto"/>
          <w:spacing w:val="8"/>
          <w:sz w:val="21"/>
          <w:szCs w:val="21"/>
          <w:lang w:val="en-US" w:eastAsia="zh-CN"/>
        </w:rPr>
        <w:t>6.5.4.1  直观检查</w:t>
      </w:r>
    </w:p>
    <w:p w14:paraId="27B87A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6.5.4.1.1</w:t>
      </w:r>
      <w:r>
        <w:rPr>
          <w:rFonts w:hint="eastAsia" w:ascii="宋体" w:hAnsi="宋体" w:eastAsia="宋体" w:cs="宋体"/>
          <w:snapToGrid w:val="0"/>
          <w:color w:val="auto"/>
          <w:kern w:val="0"/>
          <w:sz w:val="21"/>
          <w:szCs w:val="21"/>
          <w:lang w:val="en-US" w:eastAsia="zh-CN" w:bidi="ar"/>
        </w:rPr>
        <w:t xml:space="preserve">  空调器应单独供电，电源线应设置短路、过载保护，其电源插头容量应与插座容量相匹配。</w:t>
      </w:r>
    </w:p>
    <w:p w14:paraId="57027E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6.5.4.1.2 </w:t>
      </w:r>
      <w:r>
        <w:rPr>
          <w:rFonts w:hint="eastAsia" w:ascii="宋体" w:hAnsi="宋体" w:eastAsia="宋体" w:cs="宋体"/>
          <w:snapToGrid w:val="0"/>
          <w:color w:val="auto"/>
          <w:kern w:val="0"/>
          <w:sz w:val="21"/>
          <w:szCs w:val="21"/>
          <w:lang w:val="en-US" w:eastAsia="zh-CN" w:bidi="ar"/>
        </w:rPr>
        <w:t xml:space="preserve"> 分体式空调穿墙管路应选择不燃或难燃材料套管保护，室内机体接线端子板处接线牢固、整齐、正确。</w:t>
      </w:r>
    </w:p>
    <w:p w14:paraId="3A07F4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6.5.4.1.3</w:t>
      </w:r>
      <w:r>
        <w:rPr>
          <w:rFonts w:hint="eastAsia" w:ascii="宋体" w:hAnsi="宋体" w:eastAsia="宋体" w:cs="宋体"/>
          <w:snapToGrid w:val="0"/>
          <w:color w:val="auto"/>
          <w:kern w:val="0"/>
          <w:sz w:val="21"/>
          <w:szCs w:val="21"/>
          <w:lang w:val="en-US" w:eastAsia="zh-CN" w:bidi="ar"/>
        </w:rPr>
        <w:t xml:space="preserve">  空调器不应安装在可燃结构上，其设备周围不应堆放可燃物。</w:t>
      </w:r>
    </w:p>
    <w:p w14:paraId="0ABF8C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6.5.4.1.4 </w:t>
      </w:r>
      <w:r>
        <w:rPr>
          <w:rFonts w:hint="eastAsia" w:ascii="宋体" w:hAnsi="宋体" w:eastAsia="宋体" w:cs="宋体"/>
          <w:snapToGrid w:val="0"/>
          <w:color w:val="auto"/>
          <w:kern w:val="0"/>
          <w:sz w:val="21"/>
          <w:szCs w:val="21"/>
          <w:lang w:val="en-US" w:eastAsia="zh-CN" w:bidi="ar"/>
        </w:rPr>
        <w:t xml:space="preserve"> 空调器具压缩机、风扇电机应无异常声响，无火花电弧放电现象。</w:t>
      </w:r>
    </w:p>
    <w:p w14:paraId="0BAD0414">
      <w:pPr>
        <w:pStyle w:val="290"/>
        <w:keepNext w:val="0"/>
        <w:keepLines w:val="0"/>
        <w:pageBreakBefore w:val="0"/>
        <w:widowControl/>
        <w:numPr>
          <w:ilvl w:val="4"/>
          <w:numId w:val="0"/>
        </w:numPr>
        <w:kinsoku/>
        <w:wordWrap/>
        <w:overflowPunct/>
        <w:topLinePunct w:val="0"/>
        <w:autoSpaceDE/>
        <w:autoSpaceDN/>
        <w:bidi w:val="0"/>
        <w:adjustRightInd/>
        <w:snapToGrid/>
        <w:spacing w:line="240" w:lineRule="auto"/>
        <w:textAlignment w:val="auto"/>
        <w:outlineLvl w:val="9"/>
        <w:rPr>
          <w:rFonts w:hint="eastAsia" w:ascii="黑体" w:hAnsi="黑体" w:eastAsia="黑体" w:cs="黑体"/>
          <w:snapToGrid w:val="0"/>
          <w:color w:val="auto"/>
          <w:spacing w:val="8"/>
          <w:kern w:val="0"/>
          <w:sz w:val="21"/>
          <w:szCs w:val="21"/>
          <w:lang w:val="en-US" w:eastAsia="zh-CN"/>
        </w:rPr>
      </w:pPr>
      <w:r>
        <w:rPr>
          <w:rFonts w:hint="eastAsia" w:hAnsi="黑体" w:cs="黑体"/>
          <w:snapToGrid w:val="0"/>
          <w:color w:val="auto"/>
          <w:spacing w:val="8"/>
          <w:kern w:val="0"/>
          <w:sz w:val="21"/>
          <w:szCs w:val="21"/>
          <w:lang w:val="en-US" w:eastAsia="zh-CN"/>
        </w:rPr>
        <w:t>6</w:t>
      </w:r>
      <w:r>
        <w:rPr>
          <w:rFonts w:hint="eastAsia" w:ascii="黑体" w:hAnsi="黑体" w:eastAsia="黑体" w:cs="黑体"/>
          <w:snapToGrid w:val="0"/>
          <w:color w:val="auto"/>
          <w:spacing w:val="8"/>
          <w:kern w:val="0"/>
          <w:sz w:val="21"/>
          <w:szCs w:val="21"/>
          <w:lang w:val="en-US" w:eastAsia="zh-CN"/>
        </w:rPr>
        <w:t>.5.4.2</w:t>
      </w:r>
      <w:r>
        <w:rPr>
          <w:rFonts w:hint="eastAsia" w:hAnsi="黑体" w:cs="黑体"/>
          <w:snapToGrid w:val="0"/>
          <w:color w:val="auto"/>
          <w:spacing w:val="8"/>
          <w:kern w:val="0"/>
          <w:sz w:val="21"/>
          <w:szCs w:val="21"/>
          <w:lang w:val="en-US" w:eastAsia="zh-CN"/>
        </w:rPr>
        <w:t xml:space="preserve"> </w:t>
      </w:r>
      <w:r>
        <w:rPr>
          <w:rFonts w:hint="eastAsia" w:ascii="黑体" w:hAnsi="黑体" w:eastAsia="黑体" w:cs="黑体"/>
          <w:snapToGrid w:val="0"/>
          <w:color w:val="auto"/>
          <w:spacing w:val="8"/>
          <w:kern w:val="0"/>
          <w:sz w:val="21"/>
          <w:szCs w:val="21"/>
          <w:lang w:val="en-US" w:eastAsia="zh-CN"/>
        </w:rPr>
        <w:t>仪器检测</w:t>
      </w:r>
    </w:p>
    <w:p w14:paraId="192CC88A">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空调电源线插头和插座接触良好，温度不超过表3中的规定。</w:t>
      </w:r>
    </w:p>
    <w:p w14:paraId="0026674A">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157" w:beforeLines="50" w:after="157" w:afterLines="50" w:line="240" w:lineRule="auto"/>
        <w:ind w:left="0"/>
        <w:textAlignment w:val="baseline"/>
        <w:outlineLvl w:val="2"/>
        <w:rPr>
          <w:rFonts w:hint="eastAsia" w:ascii="宋体" w:hAnsi="宋体" w:eastAsia="宋体" w:cs="宋体"/>
          <w:color w:val="auto"/>
          <w:spacing w:val="11"/>
          <w:sz w:val="21"/>
          <w:szCs w:val="21"/>
          <w:lang w:val="en-US" w:eastAsia="zh-CN"/>
        </w:rPr>
      </w:pPr>
      <w:bookmarkStart w:id="366" w:name="_Toc19147"/>
      <w:bookmarkStart w:id="367" w:name="_Toc7006"/>
      <w:bookmarkStart w:id="368" w:name="_Toc5132"/>
      <w:bookmarkStart w:id="369" w:name="_Toc21960"/>
      <w:bookmarkStart w:id="370" w:name="_Toc5800"/>
      <w:bookmarkStart w:id="371" w:name="_Toc7368"/>
      <w:bookmarkStart w:id="372" w:name="_Toc4768"/>
      <w:bookmarkStart w:id="373" w:name="_Toc9629"/>
      <w:bookmarkStart w:id="374" w:name="_Toc6221"/>
      <w:bookmarkStart w:id="375" w:name="_Toc22538"/>
      <w:bookmarkStart w:id="376" w:name="_Toc1339"/>
      <w:bookmarkStart w:id="377" w:name="_Toc6023"/>
      <w:bookmarkStart w:id="378" w:name="_Toc19056"/>
      <w:bookmarkStart w:id="379" w:name="_Toc7020"/>
      <w:bookmarkStart w:id="380" w:name="_Toc8519"/>
      <w:bookmarkStart w:id="381" w:name="_Toc6593"/>
      <w:bookmarkStart w:id="382" w:name="_Toc5116"/>
      <w:bookmarkStart w:id="383" w:name="_Toc15475"/>
      <w:bookmarkStart w:id="384" w:name="_Toc3070"/>
      <w:bookmarkStart w:id="385" w:name="_Toc4367"/>
      <w:bookmarkStart w:id="386" w:name="_Toc22051"/>
      <w:bookmarkStart w:id="387" w:name="_Toc772"/>
      <w:bookmarkStart w:id="388" w:name="_Toc4830"/>
      <w:bookmarkStart w:id="389" w:name="_Toc7240"/>
      <w:r>
        <w:rPr>
          <w:rFonts w:hint="eastAsia" w:ascii="黑体" w:hAnsi="黑体" w:eastAsia="黑体" w:cs="黑体"/>
          <w:snapToGrid w:val="0"/>
          <w:color w:val="auto"/>
          <w:kern w:val="0"/>
          <w:sz w:val="21"/>
          <w:szCs w:val="21"/>
          <w:lang w:val="en-US" w:eastAsia="zh-CN" w:bidi="ar"/>
        </w:rPr>
        <w:t>6.6</w:t>
      </w:r>
      <w:r>
        <w:rPr>
          <w:rFonts w:hint="eastAsia" w:ascii="黑体" w:hAnsi="黑体" w:eastAsia="黑体" w:cs="黑体"/>
          <w:color w:val="auto"/>
          <w:spacing w:val="8"/>
          <w:sz w:val="21"/>
          <w:szCs w:val="21"/>
          <w:lang w:val="en-US" w:eastAsia="zh-CN"/>
        </w:rPr>
        <w:t xml:space="preserve">  其它用电装置</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26EA394B">
      <w:pPr>
        <w:pStyle w:val="290"/>
        <w:keepNext w:val="0"/>
        <w:keepLines w:val="0"/>
        <w:pageBreakBefore w:val="0"/>
        <w:widowControl/>
        <w:numPr>
          <w:ilvl w:val="4"/>
          <w:numId w:val="0"/>
        </w:numPr>
        <w:kinsoku/>
        <w:wordWrap/>
        <w:overflowPunct/>
        <w:topLinePunct w:val="0"/>
        <w:autoSpaceDE/>
        <w:autoSpaceDN/>
        <w:bidi w:val="0"/>
        <w:adjustRightInd/>
        <w:snapToGrid/>
        <w:spacing w:line="240" w:lineRule="auto"/>
        <w:textAlignment w:val="auto"/>
        <w:outlineLvl w:val="3"/>
        <w:rPr>
          <w:rFonts w:hint="eastAsia" w:ascii="黑体" w:hAnsi="黑体" w:eastAsia="黑体" w:cs="黑体"/>
          <w:snapToGrid w:val="0"/>
          <w:color w:val="auto"/>
          <w:spacing w:val="8"/>
          <w:kern w:val="0"/>
          <w:sz w:val="21"/>
          <w:szCs w:val="21"/>
          <w:lang w:val="en-US" w:eastAsia="zh-CN"/>
        </w:rPr>
      </w:pPr>
      <w:bookmarkStart w:id="390" w:name="_Toc28338"/>
      <w:r>
        <w:rPr>
          <w:rFonts w:hint="eastAsia" w:hAnsi="黑体" w:cs="黑体"/>
          <w:snapToGrid w:val="0"/>
          <w:color w:val="auto"/>
          <w:spacing w:val="8"/>
          <w:kern w:val="0"/>
          <w:sz w:val="21"/>
          <w:szCs w:val="21"/>
          <w:lang w:val="en-US" w:eastAsia="zh-CN"/>
        </w:rPr>
        <w:t>6</w:t>
      </w:r>
      <w:r>
        <w:rPr>
          <w:rFonts w:hint="eastAsia" w:ascii="黑体" w:hAnsi="黑体" w:eastAsia="黑体" w:cs="黑体"/>
          <w:snapToGrid w:val="0"/>
          <w:color w:val="auto"/>
          <w:spacing w:val="8"/>
          <w:kern w:val="0"/>
          <w:sz w:val="21"/>
          <w:szCs w:val="21"/>
          <w:lang w:val="en-US" w:eastAsia="zh-CN"/>
        </w:rPr>
        <w:t>.6.1</w:t>
      </w:r>
      <w:r>
        <w:rPr>
          <w:rFonts w:hint="eastAsia" w:hAnsi="黑体" w:cs="黑体"/>
          <w:snapToGrid w:val="0"/>
          <w:color w:val="auto"/>
          <w:spacing w:val="8"/>
          <w:kern w:val="0"/>
          <w:sz w:val="21"/>
          <w:szCs w:val="21"/>
          <w:lang w:val="en-US" w:eastAsia="zh-CN"/>
        </w:rPr>
        <w:t xml:space="preserve">  </w:t>
      </w:r>
      <w:r>
        <w:rPr>
          <w:rFonts w:hint="eastAsia" w:ascii="黑体" w:hAnsi="黑体" w:eastAsia="黑体" w:cs="黑体"/>
          <w:snapToGrid w:val="0"/>
          <w:color w:val="auto"/>
          <w:spacing w:val="8"/>
          <w:kern w:val="0"/>
          <w:sz w:val="21"/>
          <w:szCs w:val="21"/>
          <w:lang w:val="en-US" w:eastAsia="zh-CN"/>
        </w:rPr>
        <w:t>充电设施</w:t>
      </w:r>
      <w:bookmarkEnd w:id="390"/>
    </w:p>
    <w:p w14:paraId="228BD4A9">
      <w:pPr>
        <w:pStyle w:val="290"/>
        <w:keepNext w:val="0"/>
        <w:keepLines w:val="0"/>
        <w:pageBreakBefore w:val="0"/>
        <w:widowControl/>
        <w:numPr>
          <w:ilvl w:val="4"/>
          <w:numId w:val="0"/>
        </w:numPr>
        <w:kinsoku/>
        <w:wordWrap/>
        <w:overflowPunct/>
        <w:topLinePunct w:val="0"/>
        <w:autoSpaceDE/>
        <w:autoSpaceDN/>
        <w:bidi w:val="0"/>
        <w:adjustRightInd/>
        <w:snapToGrid/>
        <w:spacing w:line="240" w:lineRule="auto"/>
        <w:textAlignment w:val="auto"/>
        <w:outlineLvl w:val="9"/>
        <w:rPr>
          <w:rFonts w:hint="eastAsia" w:ascii="黑体" w:hAnsi="黑体" w:eastAsia="黑体" w:cs="黑体"/>
          <w:snapToGrid w:val="0"/>
          <w:color w:val="auto"/>
          <w:spacing w:val="8"/>
          <w:kern w:val="0"/>
          <w:sz w:val="21"/>
          <w:szCs w:val="21"/>
          <w:lang w:val="en-US" w:eastAsia="zh-CN"/>
        </w:rPr>
      </w:pPr>
      <w:r>
        <w:rPr>
          <w:rFonts w:hint="eastAsia" w:hAnsi="黑体" w:cs="黑体"/>
          <w:snapToGrid w:val="0"/>
          <w:color w:val="auto"/>
          <w:spacing w:val="8"/>
          <w:kern w:val="0"/>
          <w:sz w:val="21"/>
          <w:szCs w:val="21"/>
          <w:lang w:val="en-US" w:eastAsia="zh-CN"/>
        </w:rPr>
        <w:t>6</w:t>
      </w:r>
      <w:r>
        <w:rPr>
          <w:rFonts w:hint="eastAsia" w:ascii="黑体" w:hAnsi="黑体" w:eastAsia="黑体" w:cs="黑体"/>
          <w:snapToGrid w:val="0"/>
          <w:color w:val="auto"/>
          <w:spacing w:val="8"/>
          <w:kern w:val="0"/>
          <w:sz w:val="21"/>
          <w:szCs w:val="21"/>
          <w:lang w:val="en-US" w:eastAsia="zh-CN"/>
        </w:rPr>
        <w:t>.6.1.1</w:t>
      </w:r>
      <w:r>
        <w:rPr>
          <w:rFonts w:hint="eastAsia" w:hAnsi="黑体" w:cs="黑体"/>
          <w:snapToGrid w:val="0"/>
          <w:color w:val="auto"/>
          <w:spacing w:val="8"/>
          <w:kern w:val="0"/>
          <w:sz w:val="21"/>
          <w:szCs w:val="21"/>
          <w:lang w:val="en-US" w:eastAsia="zh-CN"/>
        </w:rPr>
        <w:t xml:space="preserve">  </w:t>
      </w:r>
      <w:r>
        <w:rPr>
          <w:rFonts w:hint="eastAsia" w:ascii="黑体" w:hAnsi="黑体" w:eastAsia="黑体" w:cs="黑体"/>
          <w:snapToGrid w:val="0"/>
          <w:color w:val="auto"/>
          <w:spacing w:val="8"/>
          <w:kern w:val="0"/>
          <w:sz w:val="21"/>
          <w:szCs w:val="21"/>
          <w:lang w:val="en-US" w:eastAsia="zh-CN"/>
        </w:rPr>
        <w:t xml:space="preserve">直观检查 </w:t>
      </w:r>
    </w:p>
    <w:p w14:paraId="5412DA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6.6.1.1.1</w:t>
      </w:r>
      <w:r>
        <w:rPr>
          <w:rFonts w:hint="eastAsia" w:ascii="宋体" w:hAnsi="宋体" w:eastAsia="宋体" w:cs="宋体"/>
          <w:snapToGrid w:val="0"/>
          <w:color w:val="auto"/>
          <w:kern w:val="0"/>
          <w:sz w:val="21"/>
          <w:szCs w:val="21"/>
          <w:lang w:val="en-US" w:eastAsia="zh-CN" w:bidi="ar"/>
        </w:rPr>
        <w:t xml:space="preserve">  充电设施输入输出线缆绝缘应无老化、腐蚀和损伤痕迹，端子无过热痕迹，无火花放电痕迹。</w:t>
      </w:r>
    </w:p>
    <w:p w14:paraId="1D6C1CE9">
      <w:pPr>
        <w:keepNext w:val="0"/>
        <w:keepLines w:val="0"/>
        <w:pageBreakBefore w:val="0"/>
        <w:widowControl/>
        <w:suppressLineNumbers w:val="0"/>
        <w:kinsoku w:val="0"/>
        <w:wordWrap/>
        <w:overflowPunct/>
        <w:topLinePunct w:val="0"/>
        <w:autoSpaceDE/>
        <w:autoSpaceDN/>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6.6.1.1.2</w:t>
      </w:r>
      <w:r>
        <w:rPr>
          <w:rFonts w:hint="eastAsia" w:ascii="宋体" w:hAnsi="宋体" w:eastAsia="宋体" w:cs="宋体"/>
          <w:snapToGrid w:val="0"/>
          <w:color w:val="auto"/>
          <w:kern w:val="0"/>
          <w:sz w:val="21"/>
          <w:szCs w:val="21"/>
          <w:lang w:val="en-US" w:eastAsia="zh-CN" w:bidi="ar"/>
        </w:rPr>
        <w:t xml:space="preserve">  充电设施的</w:t>
      </w:r>
      <w:r>
        <w:rPr>
          <w:rFonts w:hint="eastAsia" w:ascii="宋体" w:hAnsi="宋体" w:cs="宋体"/>
          <w:snapToGrid w:val="0"/>
          <w:color w:val="auto"/>
          <w:kern w:val="0"/>
          <w:sz w:val="21"/>
          <w:szCs w:val="21"/>
          <w:lang w:val="en-US" w:eastAsia="zh-CN" w:bidi="ar"/>
        </w:rPr>
        <w:t>外壳</w:t>
      </w:r>
      <w:r>
        <w:rPr>
          <w:rFonts w:hint="eastAsia" w:ascii="宋体" w:hAnsi="宋体" w:eastAsia="宋体" w:cs="宋体"/>
          <w:snapToGrid w:val="0"/>
          <w:color w:val="auto"/>
          <w:kern w:val="0"/>
          <w:sz w:val="21"/>
          <w:szCs w:val="21"/>
          <w:lang w:val="en-US" w:eastAsia="zh-CN" w:bidi="ar"/>
        </w:rPr>
        <w:t>防护等级应满足下列要求：</w:t>
      </w:r>
    </w:p>
    <w:p w14:paraId="2A763A6E">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a)</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安装于室内的电动汽车充电设施的</w:t>
      </w:r>
      <w:r>
        <w:rPr>
          <w:rFonts w:hint="eastAsia" w:ascii="宋体" w:hAnsi="宋体" w:cs="宋体"/>
          <w:snapToGrid w:val="0"/>
          <w:color w:val="auto"/>
          <w:kern w:val="0"/>
          <w:sz w:val="21"/>
          <w:szCs w:val="21"/>
          <w:lang w:val="en-US" w:eastAsia="zh-CN" w:bidi="ar"/>
        </w:rPr>
        <w:t>外壳</w:t>
      </w:r>
      <w:r>
        <w:rPr>
          <w:rFonts w:hint="eastAsia" w:ascii="宋体" w:hAnsi="宋体" w:eastAsia="宋体" w:cs="宋体"/>
          <w:snapToGrid w:val="0"/>
          <w:color w:val="auto"/>
          <w:kern w:val="0"/>
          <w:sz w:val="21"/>
          <w:szCs w:val="21"/>
          <w:lang w:val="en-US" w:eastAsia="zh-CN" w:bidi="ar"/>
        </w:rPr>
        <w:t>防护等级应不低于IP32；</w:t>
      </w:r>
    </w:p>
    <w:p w14:paraId="13D35A58">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b)</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安装于室内的电动自行车充电设施的</w:t>
      </w:r>
      <w:r>
        <w:rPr>
          <w:rFonts w:hint="eastAsia" w:ascii="宋体" w:hAnsi="宋体" w:cs="宋体"/>
          <w:snapToGrid w:val="0"/>
          <w:color w:val="auto"/>
          <w:kern w:val="0"/>
          <w:sz w:val="21"/>
          <w:szCs w:val="21"/>
          <w:lang w:val="en-US" w:eastAsia="zh-CN" w:bidi="ar"/>
        </w:rPr>
        <w:t>外壳</w:t>
      </w:r>
      <w:r>
        <w:rPr>
          <w:rFonts w:hint="eastAsia" w:ascii="宋体" w:hAnsi="宋体" w:eastAsia="宋体" w:cs="宋体"/>
          <w:snapToGrid w:val="0"/>
          <w:color w:val="auto"/>
          <w:kern w:val="0"/>
          <w:sz w:val="21"/>
          <w:szCs w:val="21"/>
          <w:lang w:val="en-US" w:eastAsia="zh-CN" w:bidi="ar"/>
        </w:rPr>
        <w:t>防护等级应不低于IP30；</w:t>
      </w:r>
    </w:p>
    <w:p w14:paraId="5AF700B4">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c)</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安装于室外以及有淋水风险的室内的充电设施</w:t>
      </w:r>
      <w:r>
        <w:rPr>
          <w:rFonts w:hint="eastAsia" w:ascii="宋体" w:hAnsi="宋体" w:cs="宋体"/>
          <w:snapToGrid w:val="0"/>
          <w:color w:val="auto"/>
          <w:kern w:val="0"/>
          <w:sz w:val="21"/>
          <w:szCs w:val="21"/>
          <w:lang w:val="en-US" w:eastAsia="zh-CN" w:bidi="ar"/>
        </w:rPr>
        <w:t>外壳</w:t>
      </w:r>
      <w:r>
        <w:rPr>
          <w:rFonts w:hint="eastAsia" w:ascii="宋体" w:hAnsi="宋体" w:eastAsia="宋体" w:cs="宋体"/>
          <w:snapToGrid w:val="0"/>
          <w:color w:val="auto"/>
          <w:kern w:val="0"/>
          <w:sz w:val="21"/>
          <w:szCs w:val="21"/>
          <w:lang w:val="en-US" w:eastAsia="zh-CN" w:bidi="ar"/>
        </w:rPr>
        <w:t>防护等级应不低于IP</w:t>
      </w:r>
      <w:r>
        <w:rPr>
          <w:rFonts w:hint="eastAsia" w:ascii="宋体" w:hAnsi="宋体" w:cs="宋体"/>
          <w:snapToGrid w:val="0"/>
          <w:color w:val="auto"/>
          <w:kern w:val="0"/>
          <w:sz w:val="21"/>
          <w:szCs w:val="21"/>
          <w:lang w:val="en-US" w:eastAsia="zh-CN" w:bidi="ar"/>
        </w:rPr>
        <w:t>6</w:t>
      </w:r>
      <w:r>
        <w:rPr>
          <w:rFonts w:hint="eastAsia" w:ascii="宋体" w:hAnsi="宋体" w:eastAsia="宋体" w:cs="宋体"/>
          <w:snapToGrid w:val="0"/>
          <w:color w:val="auto"/>
          <w:kern w:val="0"/>
          <w:sz w:val="21"/>
          <w:szCs w:val="21"/>
          <w:lang w:val="en-US" w:eastAsia="zh-CN" w:bidi="ar"/>
        </w:rPr>
        <w:t>5。</w:t>
      </w:r>
    </w:p>
    <w:p w14:paraId="19C58233">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0" w:after="0" w:afterLines="0" w:line="240" w:lineRule="auto"/>
        <w:textAlignment w:val="auto"/>
        <w:outlineLvl w:val="9"/>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6.6.1.1.3 </w:t>
      </w:r>
      <w:r>
        <w:rPr>
          <w:rFonts w:hint="eastAsia" w:ascii="宋体" w:hAnsi="宋体" w:eastAsia="宋体" w:cs="宋体"/>
          <w:snapToGrid w:val="0"/>
          <w:color w:val="auto"/>
          <w:kern w:val="0"/>
          <w:sz w:val="21"/>
          <w:szCs w:val="21"/>
          <w:lang w:val="en-US" w:eastAsia="zh-CN" w:bidi="ar"/>
        </w:rPr>
        <w:t xml:space="preserve"> 电动汽车充电设备应具备过负荷保护、短路保护、漏电保护、自检及故障报警功能。</w:t>
      </w:r>
      <w:r>
        <w:rPr>
          <w:rFonts w:hint="eastAsia" w:ascii="黑体" w:hAnsi="黑体" w:eastAsia="黑体" w:cs="黑体"/>
          <w:snapToGrid w:val="0"/>
          <w:color w:val="auto"/>
          <w:kern w:val="0"/>
          <w:sz w:val="21"/>
          <w:szCs w:val="21"/>
          <w:lang w:val="en-US" w:eastAsia="zh-CN" w:bidi="ar"/>
        </w:rPr>
        <w:t>6.6.1.1.4</w:t>
      </w:r>
      <w:r>
        <w:rPr>
          <w:rFonts w:hint="eastAsia" w:ascii="宋体" w:hAnsi="宋体" w:eastAsia="宋体" w:cs="宋体"/>
          <w:snapToGrid w:val="0"/>
          <w:color w:val="auto"/>
          <w:kern w:val="0"/>
          <w:sz w:val="21"/>
          <w:szCs w:val="21"/>
          <w:lang w:val="en-US" w:eastAsia="zh-CN" w:bidi="ar"/>
        </w:rPr>
        <w:t xml:space="preserve">  充电设备宜采用专用供电线路</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保护接地端子应可靠接地。</w:t>
      </w:r>
    </w:p>
    <w:p w14:paraId="7DE9F9B1">
      <w:pPr>
        <w:pStyle w:val="290"/>
        <w:keepNext w:val="0"/>
        <w:keepLines w:val="0"/>
        <w:pageBreakBefore w:val="0"/>
        <w:widowControl/>
        <w:numPr>
          <w:ilvl w:val="4"/>
          <w:numId w:val="0"/>
        </w:numPr>
        <w:kinsoku/>
        <w:wordWrap/>
        <w:overflowPunct/>
        <w:topLinePunct w:val="0"/>
        <w:autoSpaceDE/>
        <w:autoSpaceDN/>
        <w:bidi w:val="0"/>
        <w:adjustRightInd/>
        <w:snapToGrid/>
        <w:spacing w:line="240" w:lineRule="auto"/>
        <w:textAlignment w:val="auto"/>
        <w:outlineLvl w:val="9"/>
        <w:rPr>
          <w:rFonts w:hint="eastAsia" w:ascii="黑体" w:hAnsi="黑体" w:eastAsia="黑体" w:cs="黑体"/>
          <w:snapToGrid w:val="0"/>
          <w:color w:val="auto"/>
          <w:spacing w:val="8"/>
          <w:kern w:val="0"/>
          <w:sz w:val="21"/>
          <w:szCs w:val="21"/>
          <w:lang w:val="en-US" w:eastAsia="zh-CN"/>
        </w:rPr>
      </w:pPr>
      <w:r>
        <w:rPr>
          <w:rFonts w:hint="eastAsia" w:hAnsi="黑体" w:cs="黑体"/>
          <w:snapToGrid w:val="0"/>
          <w:color w:val="auto"/>
          <w:spacing w:val="8"/>
          <w:kern w:val="0"/>
          <w:sz w:val="21"/>
          <w:szCs w:val="21"/>
          <w:lang w:val="en-US" w:eastAsia="zh-CN"/>
        </w:rPr>
        <w:t>6</w:t>
      </w:r>
      <w:r>
        <w:rPr>
          <w:rFonts w:hint="eastAsia" w:ascii="黑体" w:hAnsi="黑体" w:eastAsia="黑体" w:cs="黑体"/>
          <w:snapToGrid w:val="0"/>
          <w:color w:val="auto"/>
          <w:spacing w:val="8"/>
          <w:kern w:val="0"/>
          <w:sz w:val="21"/>
          <w:szCs w:val="21"/>
          <w:lang w:val="en-US" w:eastAsia="zh-CN"/>
        </w:rPr>
        <w:t>.6.1.2</w:t>
      </w:r>
      <w:r>
        <w:rPr>
          <w:rFonts w:hint="eastAsia" w:hAnsi="黑体" w:cs="黑体"/>
          <w:snapToGrid w:val="0"/>
          <w:color w:val="auto"/>
          <w:spacing w:val="8"/>
          <w:kern w:val="0"/>
          <w:sz w:val="21"/>
          <w:szCs w:val="21"/>
          <w:lang w:val="en-US" w:eastAsia="zh-CN"/>
        </w:rPr>
        <w:t xml:space="preserve">  </w:t>
      </w:r>
      <w:r>
        <w:rPr>
          <w:rFonts w:hint="eastAsia" w:ascii="黑体" w:hAnsi="黑体" w:eastAsia="黑体" w:cs="黑体"/>
          <w:snapToGrid w:val="0"/>
          <w:color w:val="auto"/>
          <w:spacing w:val="8"/>
          <w:kern w:val="0"/>
          <w:sz w:val="21"/>
          <w:szCs w:val="21"/>
          <w:lang w:val="en-US" w:eastAsia="zh-CN"/>
        </w:rPr>
        <w:t>仪器检测</w:t>
      </w:r>
    </w:p>
    <w:p w14:paraId="67C96715">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充电设施的触点温升不应超过表3中规定的数值；电源线的温升不应超过表4中规定的数值。</w:t>
      </w:r>
    </w:p>
    <w:p w14:paraId="0E4E1C19">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3"/>
        <w:rPr>
          <w:rFonts w:hint="eastAsia" w:ascii="黑体" w:hAnsi="黑体" w:eastAsia="黑体" w:cs="黑体"/>
          <w:snapToGrid w:val="0"/>
          <w:color w:val="auto"/>
          <w:spacing w:val="8"/>
          <w:kern w:val="0"/>
          <w:sz w:val="21"/>
          <w:szCs w:val="21"/>
          <w:lang w:val="en-US" w:eastAsia="zh-CN"/>
        </w:rPr>
      </w:pPr>
      <w:bookmarkStart w:id="391" w:name="_Toc15304"/>
      <w:r>
        <w:rPr>
          <w:rFonts w:hint="eastAsia" w:hAnsi="黑体" w:cs="黑体"/>
          <w:snapToGrid w:val="0"/>
          <w:color w:val="auto"/>
          <w:spacing w:val="8"/>
          <w:kern w:val="0"/>
          <w:sz w:val="21"/>
          <w:szCs w:val="21"/>
          <w:lang w:val="en-US" w:eastAsia="zh-CN"/>
        </w:rPr>
        <w:t>6</w:t>
      </w:r>
      <w:r>
        <w:rPr>
          <w:rFonts w:hint="eastAsia" w:ascii="黑体" w:hAnsi="黑体" w:eastAsia="黑体" w:cs="黑体"/>
          <w:snapToGrid w:val="0"/>
          <w:color w:val="auto"/>
          <w:spacing w:val="8"/>
          <w:kern w:val="0"/>
          <w:sz w:val="21"/>
          <w:szCs w:val="21"/>
          <w:lang w:val="en-US" w:eastAsia="zh-CN"/>
        </w:rPr>
        <w:t>.6.2</w:t>
      </w:r>
      <w:r>
        <w:rPr>
          <w:rFonts w:hint="eastAsia" w:hAnsi="黑体" w:cs="黑体"/>
          <w:snapToGrid w:val="0"/>
          <w:color w:val="auto"/>
          <w:spacing w:val="8"/>
          <w:kern w:val="0"/>
          <w:sz w:val="21"/>
          <w:szCs w:val="21"/>
          <w:lang w:val="en-US" w:eastAsia="zh-CN"/>
        </w:rPr>
        <w:t xml:space="preserve">  </w:t>
      </w:r>
      <w:r>
        <w:rPr>
          <w:rFonts w:hint="eastAsia" w:ascii="黑体" w:hAnsi="黑体" w:eastAsia="黑体" w:cs="黑体"/>
          <w:snapToGrid w:val="0"/>
          <w:color w:val="auto"/>
          <w:spacing w:val="8"/>
          <w:kern w:val="0"/>
          <w:sz w:val="21"/>
          <w:szCs w:val="21"/>
          <w:lang w:val="en-US" w:eastAsia="zh-CN"/>
        </w:rPr>
        <w:t>自备电源装置</w:t>
      </w:r>
      <w:bookmarkEnd w:id="391"/>
      <w:r>
        <w:rPr>
          <w:rFonts w:hint="eastAsia" w:ascii="黑体" w:hAnsi="黑体" w:eastAsia="黑体" w:cs="黑体"/>
          <w:snapToGrid w:val="0"/>
          <w:color w:val="auto"/>
          <w:spacing w:val="8"/>
          <w:kern w:val="0"/>
          <w:sz w:val="21"/>
          <w:szCs w:val="21"/>
          <w:lang w:val="en-US" w:eastAsia="zh-CN"/>
        </w:rPr>
        <w:t xml:space="preserve"> </w:t>
      </w:r>
    </w:p>
    <w:p w14:paraId="5F5AEC04">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lang w:val="en-US" w:eastAsia="zh-CN"/>
        </w:rPr>
      </w:pPr>
      <w:r>
        <w:rPr>
          <w:rFonts w:hint="eastAsia" w:hAnsi="黑体" w:cs="黑体"/>
          <w:snapToGrid w:val="0"/>
          <w:color w:val="auto"/>
          <w:spacing w:val="8"/>
          <w:kern w:val="0"/>
          <w:sz w:val="21"/>
          <w:szCs w:val="21"/>
          <w:lang w:val="en-US" w:eastAsia="zh-CN"/>
        </w:rPr>
        <w:t>6</w:t>
      </w:r>
      <w:r>
        <w:rPr>
          <w:rFonts w:hint="eastAsia" w:ascii="黑体" w:hAnsi="黑体" w:eastAsia="黑体" w:cs="黑体"/>
          <w:snapToGrid w:val="0"/>
          <w:color w:val="auto"/>
          <w:spacing w:val="8"/>
          <w:kern w:val="0"/>
          <w:sz w:val="21"/>
          <w:szCs w:val="21"/>
          <w:lang w:val="en-US" w:eastAsia="zh-CN"/>
        </w:rPr>
        <w:t xml:space="preserve">.6.2.1 </w:t>
      </w:r>
      <w:r>
        <w:rPr>
          <w:rFonts w:hint="eastAsia" w:hAnsi="黑体" w:cs="黑体"/>
          <w:snapToGrid w:val="0"/>
          <w:color w:val="auto"/>
          <w:spacing w:val="8"/>
          <w:kern w:val="0"/>
          <w:sz w:val="21"/>
          <w:szCs w:val="21"/>
          <w:lang w:val="en-US" w:eastAsia="zh-CN"/>
        </w:rPr>
        <w:t xml:space="preserve">  </w:t>
      </w:r>
      <w:r>
        <w:rPr>
          <w:rFonts w:hint="eastAsia" w:ascii="黑体" w:hAnsi="黑体" w:eastAsia="黑体" w:cs="黑体"/>
          <w:snapToGrid w:val="0"/>
          <w:color w:val="auto"/>
          <w:spacing w:val="8"/>
          <w:kern w:val="0"/>
          <w:sz w:val="21"/>
          <w:szCs w:val="21"/>
          <w:lang w:val="en-US" w:eastAsia="zh-CN"/>
        </w:rPr>
        <w:t xml:space="preserve">直观检查 </w:t>
      </w:r>
    </w:p>
    <w:p w14:paraId="5B1243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6.6.2.1.1</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自备电源装置运行时不应过负荷运行。 </w:t>
      </w:r>
    </w:p>
    <w:p w14:paraId="0BDCD8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6.6.2.1.2</w:t>
      </w:r>
      <w:r>
        <w:rPr>
          <w:rFonts w:hint="eastAsia" w:ascii="宋体" w:hAnsi="宋体" w:eastAsia="宋体" w:cs="宋体"/>
          <w:snapToGrid w:val="0"/>
          <w:color w:val="auto"/>
          <w:kern w:val="0"/>
          <w:sz w:val="21"/>
          <w:szCs w:val="21"/>
          <w:lang w:val="en-US" w:eastAsia="zh-CN" w:bidi="ar"/>
        </w:rPr>
        <w:t xml:space="preserve">  自备电源装置各连接点、壳体等无过热痕迹、无火花放电痕迹。 </w:t>
      </w:r>
    </w:p>
    <w:p w14:paraId="51D80D25">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6.6.2.1.3 </w:t>
      </w:r>
      <w:r>
        <w:rPr>
          <w:rFonts w:hint="eastAsia" w:ascii="宋体" w:hAnsi="宋体" w:eastAsia="宋体" w:cs="宋体"/>
          <w:snapToGrid w:val="0"/>
          <w:color w:val="auto"/>
          <w:kern w:val="0"/>
          <w:sz w:val="21"/>
          <w:szCs w:val="21"/>
          <w:lang w:val="en-US" w:eastAsia="zh-CN" w:bidi="ar"/>
        </w:rPr>
        <w:t xml:space="preserve"> 自备电源装置的防护等级应满足产品标准的要求。如无规定，室内安装的设备应至少满足IP20的要求，对室外安装的设备应至少满足IP44的要求。 </w:t>
      </w:r>
    </w:p>
    <w:p w14:paraId="50EB7A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6.6.2.1.4</w:t>
      </w:r>
      <w:r>
        <w:rPr>
          <w:rFonts w:hint="eastAsia" w:ascii="宋体" w:hAnsi="宋体" w:eastAsia="宋体" w:cs="宋体"/>
          <w:snapToGrid w:val="0"/>
          <w:color w:val="auto"/>
          <w:kern w:val="0"/>
          <w:sz w:val="21"/>
          <w:szCs w:val="21"/>
          <w:lang w:val="en-US" w:eastAsia="zh-CN" w:bidi="ar"/>
        </w:rPr>
        <w:t xml:space="preserve">  自备电源装置的剩余电流</w:t>
      </w:r>
      <w:r>
        <w:rPr>
          <w:rFonts w:hint="eastAsia" w:ascii="宋体" w:hAnsi="宋体" w:cs="宋体"/>
          <w:snapToGrid w:val="0"/>
          <w:color w:val="auto"/>
          <w:kern w:val="0"/>
          <w:sz w:val="21"/>
          <w:szCs w:val="21"/>
          <w:lang w:val="en-US" w:eastAsia="zh-CN" w:bidi="ar"/>
        </w:rPr>
        <w:t>动作</w:t>
      </w:r>
      <w:r>
        <w:rPr>
          <w:rFonts w:hint="eastAsia" w:ascii="宋体" w:hAnsi="宋体" w:eastAsia="宋体" w:cs="宋体"/>
          <w:snapToGrid w:val="0"/>
          <w:color w:val="auto"/>
          <w:kern w:val="0"/>
          <w:sz w:val="21"/>
          <w:szCs w:val="21"/>
          <w:lang w:val="en-US" w:eastAsia="zh-CN" w:bidi="ar"/>
        </w:rPr>
        <w:t>保护</w:t>
      </w:r>
      <w:r>
        <w:rPr>
          <w:rFonts w:hint="eastAsia" w:ascii="宋体" w:hAnsi="宋体" w:cs="宋体"/>
          <w:snapToGrid w:val="0"/>
          <w:color w:val="auto"/>
          <w:kern w:val="0"/>
          <w:sz w:val="21"/>
          <w:szCs w:val="21"/>
          <w:lang w:val="en-US" w:eastAsia="zh-CN" w:bidi="ar"/>
        </w:rPr>
        <w:t>装置</w:t>
      </w:r>
      <w:r>
        <w:rPr>
          <w:rFonts w:hint="eastAsia" w:ascii="宋体" w:hAnsi="宋体" w:eastAsia="宋体" w:cs="宋体"/>
          <w:snapToGrid w:val="0"/>
          <w:color w:val="auto"/>
          <w:kern w:val="0"/>
          <w:sz w:val="21"/>
          <w:szCs w:val="21"/>
          <w:lang w:val="en-US" w:eastAsia="zh-CN" w:bidi="ar"/>
        </w:rPr>
        <w:t>、功率模块、铭牌标称功率、电流及电压范围等应与设备的铭牌参数匹配。</w:t>
      </w:r>
    </w:p>
    <w:p w14:paraId="496A4D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6.6.2.1.5</w:t>
      </w:r>
      <w:r>
        <w:rPr>
          <w:rFonts w:hint="eastAsia" w:ascii="宋体" w:hAnsi="宋体" w:eastAsia="宋体" w:cs="宋体"/>
          <w:snapToGrid w:val="0"/>
          <w:color w:val="auto"/>
          <w:kern w:val="0"/>
          <w:sz w:val="21"/>
          <w:szCs w:val="21"/>
          <w:lang w:val="en-US" w:eastAsia="zh-CN" w:bidi="ar"/>
        </w:rPr>
        <w:t xml:space="preserve"> </w:t>
      </w:r>
      <w:r>
        <w:rPr>
          <w:rFonts w:hint="eastAsia" w:ascii="宋体" w:hAnsi="宋体" w:cs="宋体"/>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发电机</w:t>
      </w:r>
    </w:p>
    <w:p w14:paraId="23120B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default" w:ascii="宋体" w:hAnsi="宋体" w:eastAsia="宋体" w:cs="宋体"/>
          <w:snapToGrid w:val="0"/>
          <w:color w:val="auto"/>
          <w:kern w:val="0"/>
          <w:sz w:val="21"/>
          <w:szCs w:val="21"/>
          <w:lang w:val="en-US" w:eastAsia="zh-CN" w:bidi="ar"/>
        </w:rPr>
      </w:pPr>
      <w:r>
        <w:rPr>
          <w:rFonts w:hint="eastAsia" w:eastAsia="宋体"/>
          <w:color w:val="auto"/>
          <w:lang w:val="en-US" w:eastAsia="zh-CN"/>
        </w:rPr>
        <w:t>应满足以下要求</w:t>
      </w:r>
      <w:r>
        <w:rPr>
          <w:rFonts w:hint="eastAsia"/>
          <w:color w:val="auto"/>
          <w:lang w:val="en-US" w:eastAsia="zh-CN"/>
        </w:rPr>
        <w:t>：</w:t>
      </w:r>
    </w:p>
    <w:p w14:paraId="29F8814C">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eastAsia="宋体"/>
          <w:color w:val="auto"/>
          <w:lang w:eastAsia="zh-CN"/>
        </w:rPr>
      </w:pPr>
      <w:r>
        <w:rPr>
          <w:rFonts w:hint="eastAsia" w:ascii="宋体" w:hAnsi="宋体" w:cs="宋体"/>
          <w:snapToGrid w:val="0"/>
          <w:color w:val="auto"/>
          <w:kern w:val="0"/>
          <w:sz w:val="21"/>
          <w:szCs w:val="21"/>
          <w:lang w:val="en-US" w:eastAsia="zh-CN" w:bidi="ar"/>
        </w:rPr>
        <w:t>a)</w:t>
      </w:r>
      <w:r>
        <w:rPr>
          <w:rFonts w:hint="eastAsia" w:ascii="宋体" w:hAnsi="宋体" w:cs="宋体"/>
          <w:color w:val="auto"/>
          <w:lang w:val="en-US" w:eastAsia="zh-CN"/>
        </w:rPr>
        <w:t xml:space="preserve">  </w:t>
      </w:r>
      <w:r>
        <w:rPr>
          <w:color w:val="auto"/>
        </w:rPr>
        <w:t>仪表、指示灯及开关按钮等应完好，显示应正常</w:t>
      </w:r>
      <w:r>
        <w:rPr>
          <w:rFonts w:hint="eastAsia"/>
          <w:color w:val="auto"/>
          <w:lang w:eastAsia="zh-CN"/>
        </w:rPr>
        <w:t>；</w:t>
      </w:r>
    </w:p>
    <w:p w14:paraId="71DC9AA0">
      <w:pPr>
        <w:keepNext w:val="0"/>
        <w:keepLines w:val="0"/>
        <w:pageBreakBefore w:val="0"/>
        <w:widowControl/>
        <w:kinsoku w:val="0"/>
        <w:wordWrap/>
        <w:overflowPunct/>
        <w:topLinePunct w:val="0"/>
        <w:autoSpaceDE/>
        <w:autoSpaceDN/>
        <w:bidi w:val="0"/>
        <w:adjustRightInd w:val="0"/>
        <w:snapToGrid w:val="0"/>
        <w:spacing w:line="240" w:lineRule="auto"/>
        <w:ind w:left="840" w:leftChars="200" w:hanging="420" w:hangingChars="200"/>
        <w:textAlignment w:val="baseline"/>
        <w:rPr>
          <w:rFonts w:hint="eastAsia" w:ascii="宋体" w:hAnsi="宋体" w:eastAsia="宋体" w:cs="宋体"/>
          <w:color w:val="auto"/>
          <w:lang w:val="en-US" w:eastAsia="zh-CN"/>
        </w:rPr>
      </w:pPr>
      <w:r>
        <w:rPr>
          <w:rFonts w:hint="eastAsia" w:ascii="宋体" w:hAnsi="宋体" w:cs="宋体"/>
          <w:snapToGrid w:val="0"/>
          <w:color w:val="auto"/>
          <w:kern w:val="0"/>
          <w:sz w:val="21"/>
          <w:szCs w:val="21"/>
          <w:lang w:val="en-US" w:eastAsia="zh-CN" w:bidi="ar"/>
        </w:rPr>
        <w:t>b)</w:t>
      </w:r>
      <w:r>
        <w:rPr>
          <w:rFonts w:hint="eastAsia" w:ascii="宋体" w:hAnsi="宋体" w:cs="宋体"/>
          <w:color w:val="auto"/>
          <w:lang w:val="en-US" w:eastAsia="zh-CN"/>
        </w:rPr>
        <w:t xml:space="preserve">  用于消防设施供配电的</w:t>
      </w:r>
      <w:r>
        <w:rPr>
          <w:rFonts w:hint="eastAsia" w:ascii="宋体" w:hAnsi="宋体" w:eastAsia="宋体" w:cs="宋体"/>
          <w:color w:val="auto"/>
          <w:lang w:val="en-US" w:eastAsia="zh-CN"/>
        </w:rPr>
        <w:t>发电机组</w:t>
      </w:r>
      <w:r>
        <w:rPr>
          <w:rFonts w:hint="eastAsia" w:ascii="宋体" w:hAnsi="宋体" w:cs="宋体"/>
          <w:color w:val="auto"/>
          <w:lang w:val="en-US" w:eastAsia="zh-CN"/>
        </w:rPr>
        <w:t>，自动启动并达到额定转速并发电的时间不应大于30s，发电机运行及输出功率、电压、频率、相位的显示均应正常。用于应急供电的发电机组平时应处于自启动状态；</w:t>
      </w:r>
    </w:p>
    <w:p w14:paraId="4B202D03">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color w:val="auto"/>
          <w:lang w:val="en-US" w:eastAsia="zh-CN"/>
        </w:rPr>
      </w:pPr>
      <w:r>
        <w:rPr>
          <w:rFonts w:hint="eastAsia" w:ascii="宋体" w:hAnsi="宋体" w:cs="宋体"/>
          <w:snapToGrid w:val="0"/>
          <w:color w:val="auto"/>
          <w:kern w:val="0"/>
          <w:sz w:val="21"/>
          <w:szCs w:val="21"/>
          <w:lang w:val="en-US" w:eastAsia="zh-CN" w:bidi="ar"/>
        </w:rPr>
        <w:t>c)</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机房通风设施应正常</w:t>
      </w:r>
      <w:r>
        <w:rPr>
          <w:rFonts w:hint="eastAsia" w:ascii="宋体" w:hAnsi="宋体" w:cs="宋体"/>
          <w:color w:val="auto"/>
          <w:lang w:val="en-US" w:eastAsia="zh-CN"/>
        </w:rPr>
        <w:t>；</w:t>
      </w:r>
    </w:p>
    <w:p w14:paraId="1684E616">
      <w:pPr>
        <w:keepNext w:val="0"/>
        <w:keepLines w:val="0"/>
        <w:pageBreakBefore w:val="0"/>
        <w:widowControl/>
        <w:kinsoku w:val="0"/>
        <w:wordWrap/>
        <w:overflowPunct/>
        <w:topLinePunct w:val="0"/>
        <w:autoSpaceDE w:val="0"/>
        <w:autoSpaceDN w:val="0"/>
        <w:bidi w:val="0"/>
        <w:adjustRightInd w:val="0"/>
        <w:snapToGrid w:val="0"/>
        <w:spacing w:line="240" w:lineRule="auto"/>
        <w:ind w:left="840" w:leftChars="200" w:hanging="420" w:hanging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d)  备用发电机组外壳等应接地应牢固可靠，燃油箱及金属管路防静电接地也应牢固可靠，完好无损</w:t>
      </w:r>
      <w:r>
        <w:rPr>
          <w:rFonts w:hint="eastAsia" w:ascii="宋体" w:hAnsi="宋体" w:cs="宋体"/>
          <w:color w:val="auto"/>
          <w:lang w:val="en-US" w:eastAsia="zh-CN"/>
        </w:rPr>
        <w:t>；</w:t>
      </w:r>
    </w:p>
    <w:p w14:paraId="2E855B39">
      <w:pPr>
        <w:keepNext w:val="0"/>
        <w:keepLines w:val="0"/>
        <w:pageBreakBefore w:val="0"/>
        <w:widowControl/>
        <w:kinsoku w:val="0"/>
        <w:wordWrap/>
        <w:overflowPunct/>
        <w:topLinePunct w:val="0"/>
        <w:autoSpaceDE w:val="0"/>
        <w:autoSpaceDN w:val="0"/>
        <w:bidi w:val="0"/>
        <w:adjustRightInd w:val="0"/>
        <w:snapToGrid w:val="0"/>
        <w:spacing w:line="240" w:lineRule="auto"/>
        <w:ind w:left="840" w:leftChars="200" w:hanging="420" w:hanging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e)  作为消防供配电设施和应急供电的</w:t>
      </w:r>
      <w:bookmarkStart w:id="392" w:name="_Hlk179985715"/>
      <w:r>
        <w:rPr>
          <w:rFonts w:hint="eastAsia" w:ascii="宋体" w:hAnsi="宋体" w:eastAsia="宋体" w:cs="宋体"/>
          <w:color w:val="auto"/>
          <w:lang w:val="en-US" w:eastAsia="zh-CN"/>
        </w:rPr>
        <w:t>备用机组</w:t>
      </w:r>
      <w:bookmarkEnd w:id="392"/>
      <w:r>
        <w:rPr>
          <w:rFonts w:hint="eastAsia" w:ascii="宋体" w:hAnsi="宋体" w:eastAsia="宋体" w:cs="宋体"/>
          <w:color w:val="auto"/>
          <w:lang w:val="en-US" w:eastAsia="zh-CN"/>
        </w:rPr>
        <w:t>，应配置机组冷却液电加热器，机房温度低于21℃时，宜配置机油电加热器，冷却液温度应不低于35℃，发电机运转时应切断电源</w:t>
      </w:r>
      <w:r>
        <w:rPr>
          <w:rFonts w:hint="eastAsia" w:ascii="宋体" w:hAnsi="宋体" w:cs="宋体"/>
          <w:color w:val="auto"/>
          <w:lang w:val="en-US" w:eastAsia="zh-CN"/>
        </w:rPr>
        <w:t>；</w:t>
      </w:r>
    </w:p>
    <w:p w14:paraId="13A38710">
      <w:pPr>
        <w:keepNext w:val="0"/>
        <w:keepLines w:val="0"/>
        <w:pageBreakBefore w:val="0"/>
        <w:widowControl/>
        <w:kinsoku w:val="0"/>
        <w:wordWrap/>
        <w:overflowPunct/>
        <w:topLinePunct w:val="0"/>
        <w:autoSpaceDE w:val="0"/>
        <w:autoSpaceDN w:val="0"/>
        <w:bidi w:val="0"/>
        <w:adjustRightInd w:val="0"/>
        <w:snapToGrid w:val="0"/>
        <w:spacing w:line="240" w:lineRule="auto"/>
        <w:ind w:left="840" w:leftChars="200" w:hanging="420" w:hanging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f)  备用机组采用电启动方式的系统，应满足柴油发电机组连续启动6次成功。蓄电池组周边不应有油、水浸入。</w:t>
      </w:r>
    </w:p>
    <w:p w14:paraId="4513A0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color w:val="auto"/>
        </w:rPr>
      </w:pPr>
      <w:r>
        <w:rPr>
          <w:rFonts w:hint="eastAsia" w:ascii="黑体" w:hAnsi="黑体" w:eastAsia="黑体" w:cs="黑体"/>
          <w:snapToGrid w:val="0"/>
          <w:color w:val="auto"/>
          <w:kern w:val="0"/>
          <w:sz w:val="21"/>
          <w:szCs w:val="21"/>
          <w:lang w:val="en-US" w:eastAsia="zh-CN" w:bidi="ar"/>
        </w:rPr>
        <w:t xml:space="preserve">6.6.2.1.6  </w:t>
      </w:r>
      <w:r>
        <w:rPr>
          <w:color w:val="auto"/>
        </w:rPr>
        <w:t>自备发电机组储油设施</w:t>
      </w:r>
    </w:p>
    <w:p w14:paraId="293478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default" w:ascii="宋体" w:hAnsi="宋体" w:eastAsia="宋体" w:cs="宋体"/>
          <w:snapToGrid w:val="0"/>
          <w:color w:val="auto"/>
          <w:kern w:val="0"/>
          <w:sz w:val="21"/>
          <w:szCs w:val="21"/>
          <w:lang w:val="en-US" w:eastAsia="zh-CN" w:bidi="ar"/>
        </w:rPr>
      </w:pPr>
      <w:r>
        <w:rPr>
          <w:rFonts w:hint="eastAsia" w:eastAsia="宋体"/>
          <w:color w:val="auto"/>
          <w:lang w:val="en-US" w:eastAsia="zh-CN"/>
        </w:rPr>
        <w:t>应满足以下要求</w:t>
      </w:r>
      <w:r>
        <w:rPr>
          <w:rFonts w:hint="eastAsia"/>
          <w:color w:val="auto"/>
          <w:lang w:val="en-US" w:eastAsia="zh-CN"/>
        </w:rPr>
        <w:t>：</w:t>
      </w:r>
    </w:p>
    <w:p w14:paraId="30CA6DD2">
      <w:pPr>
        <w:keepNext w:val="0"/>
        <w:keepLines w:val="0"/>
        <w:pageBreakBefore w:val="0"/>
        <w:widowControl/>
        <w:suppressLineNumbers w:val="0"/>
        <w:kinsoku w:val="0"/>
        <w:wordWrap/>
        <w:overflowPunct/>
        <w:topLinePunct w:val="0"/>
        <w:autoSpaceDE/>
        <w:autoSpaceDN/>
        <w:bidi w:val="0"/>
        <w:adjustRightInd w:val="0"/>
        <w:snapToGrid w:val="0"/>
        <w:spacing w:line="240" w:lineRule="auto"/>
        <w:ind w:left="840" w:leftChars="200" w:hanging="420" w:hangingChars="200"/>
        <w:jc w:val="left"/>
        <w:textAlignment w:val="baseline"/>
        <w:rPr>
          <w:rFonts w:hint="eastAsia"/>
          <w:color w:val="auto"/>
        </w:rPr>
      </w:pPr>
      <w:r>
        <w:rPr>
          <w:rFonts w:hint="eastAsia" w:ascii="宋体" w:hAnsi="宋体" w:cs="宋体"/>
          <w:snapToGrid w:val="0"/>
          <w:color w:val="auto"/>
          <w:kern w:val="0"/>
          <w:sz w:val="21"/>
          <w:szCs w:val="21"/>
          <w:lang w:val="en-US" w:eastAsia="zh-CN" w:bidi="ar"/>
        </w:rPr>
        <w:t>a)</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储油设施内的燃油量应能满足发电机在设计连续供电时间内正常运行的用量，储油间内的燃油箱储油量不应大于1m</w:t>
      </w:r>
      <w:r>
        <w:rPr>
          <w:rFonts w:hint="eastAsia" w:ascii="宋体" w:hAnsi="宋体" w:cs="宋体"/>
          <w:color w:val="auto"/>
          <w:vertAlign w:val="superscript"/>
          <w:lang w:val="en-US" w:eastAsia="zh-CN"/>
        </w:rPr>
        <w:t>3</w:t>
      </w:r>
      <w:r>
        <w:rPr>
          <w:rFonts w:hint="eastAsia" w:ascii="宋体" w:hAnsi="宋体" w:cs="宋体"/>
          <w:color w:val="auto"/>
          <w:lang w:val="en-US" w:eastAsia="zh-CN"/>
        </w:rPr>
        <w:t>；</w:t>
      </w:r>
    </w:p>
    <w:p w14:paraId="4A7239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lang w:val="en-US" w:eastAsia="zh-CN"/>
        </w:rPr>
      </w:pPr>
      <w:r>
        <w:rPr>
          <w:rFonts w:hint="eastAsia" w:ascii="宋体" w:hAnsi="宋体" w:cs="宋体"/>
          <w:snapToGrid w:val="0"/>
          <w:color w:val="auto"/>
          <w:kern w:val="0"/>
          <w:sz w:val="21"/>
          <w:szCs w:val="21"/>
          <w:lang w:val="en-US" w:eastAsia="zh-CN" w:bidi="ar"/>
        </w:rPr>
        <w:t>b)</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燃油油位显示应正常</w:t>
      </w:r>
      <w:r>
        <w:rPr>
          <w:rFonts w:hint="eastAsia" w:ascii="宋体" w:hAnsi="宋体" w:cs="宋体"/>
          <w:color w:val="auto"/>
          <w:lang w:val="en-US" w:eastAsia="zh-CN"/>
        </w:rPr>
        <w:t>；</w:t>
      </w:r>
    </w:p>
    <w:p w14:paraId="0A00DC8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lang w:val="en-US" w:eastAsia="zh-CN"/>
        </w:rPr>
      </w:pPr>
      <w:r>
        <w:rPr>
          <w:rFonts w:hint="eastAsia" w:ascii="宋体" w:hAnsi="宋体" w:cs="宋体"/>
          <w:snapToGrid w:val="0"/>
          <w:color w:val="auto"/>
          <w:kern w:val="0"/>
          <w:sz w:val="21"/>
          <w:szCs w:val="21"/>
          <w:lang w:val="en-US" w:eastAsia="zh-CN" w:bidi="ar"/>
        </w:rPr>
        <w:t>c)</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应选用丙类燃油，燃油标号应正确</w:t>
      </w:r>
      <w:r>
        <w:rPr>
          <w:rFonts w:hint="eastAsia" w:ascii="宋体" w:hAnsi="宋体" w:cs="宋体"/>
          <w:color w:val="auto"/>
          <w:lang w:val="en-US" w:eastAsia="zh-CN"/>
        </w:rPr>
        <w:t>；</w:t>
      </w:r>
    </w:p>
    <w:p w14:paraId="04805A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d)  应配置相适应消防设施；</w:t>
      </w:r>
    </w:p>
    <w:p w14:paraId="15570B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 xml:space="preserve">e)  </w:t>
      </w:r>
      <w:r>
        <w:rPr>
          <w:rFonts w:hint="default" w:ascii="宋体" w:hAnsi="宋体" w:cs="宋体"/>
          <w:snapToGrid w:val="0"/>
          <w:color w:val="auto"/>
          <w:kern w:val="0"/>
          <w:sz w:val="21"/>
          <w:szCs w:val="21"/>
          <w:lang w:val="en-US" w:eastAsia="zh-CN" w:bidi="ar"/>
        </w:rPr>
        <w:t>燃油系统的设备与管道应采取防静电接地措施</w:t>
      </w:r>
      <w:r>
        <w:rPr>
          <w:rFonts w:hint="eastAsia" w:ascii="宋体" w:hAnsi="宋体" w:cs="宋体"/>
          <w:snapToGrid w:val="0"/>
          <w:color w:val="auto"/>
          <w:kern w:val="0"/>
          <w:sz w:val="21"/>
          <w:szCs w:val="21"/>
          <w:lang w:val="en-US" w:eastAsia="zh-CN" w:bidi="ar"/>
        </w:rPr>
        <w:t>；</w:t>
      </w:r>
    </w:p>
    <w:p w14:paraId="13CFE7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f)  储油间灯具、开关、线路应设置防爆措施；</w:t>
      </w:r>
    </w:p>
    <w:p w14:paraId="5C2C38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840" w:leftChars="200" w:hanging="420" w:hangingChars="200"/>
        <w:jc w:val="left"/>
        <w:textAlignment w:val="baseline"/>
        <w:rPr>
          <w:rFonts w:hint="eastAsia" w:ascii="宋体" w:hAnsi="宋体" w:cs="宋体"/>
          <w:snapToGrid w:val="0"/>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g)  用于消防供配电设施和应急供电的备用机组，燃油箱应高位安装布置，出油口应高于柴油机输油泵。燃油箱下部应设置防止油品流散的围堰(双层燃油箱除外)，围堰内外均应无油迹。燃油箱通向室外的通气管及带阻火器的呼吸阀应完好无锈蚀；</w:t>
      </w:r>
    </w:p>
    <w:p w14:paraId="1A8FEE53">
      <w:pPr>
        <w:widowControl/>
        <w:kinsoku w:val="0"/>
        <w:autoSpaceDE w:val="0"/>
        <w:autoSpaceDN w:val="0"/>
        <w:adjustRightInd w:val="0"/>
        <w:snapToGrid w:val="0"/>
        <w:ind w:firstLine="420" w:firstLineChars="200"/>
        <w:jc w:val="left"/>
        <w:textAlignment w:val="baseline"/>
        <w:rPr>
          <w:rFonts w:ascii="宋体" w:hAnsi="宋体" w:cs="宋体"/>
          <w:color w:val="auto"/>
        </w:rPr>
      </w:pPr>
      <w:r>
        <w:rPr>
          <w:rFonts w:hint="eastAsia" w:ascii="宋体" w:hAnsi="宋体" w:cs="宋体"/>
          <w:color w:val="auto"/>
          <w:lang w:val="en-US" w:eastAsia="zh-CN"/>
        </w:rPr>
        <w:t>h</w:t>
      </w:r>
      <w:r>
        <w:rPr>
          <w:rFonts w:ascii="宋体" w:hAnsi="宋体" w:cs="宋体"/>
          <w:color w:val="auto"/>
        </w:rPr>
        <w:t xml:space="preserve">) </w:t>
      </w:r>
      <w:r>
        <w:rPr>
          <w:rFonts w:hint="eastAsia" w:ascii="宋体" w:hAnsi="宋体" w:cs="宋体"/>
          <w:color w:val="auto"/>
        </w:rPr>
        <w:t xml:space="preserve"> </w:t>
      </w:r>
      <w:r>
        <w:rPr>
          <w:rFonts w:ascii="宋体" w:hAnsi="宋体" w:cs="宋体"/>
          <w:color w:val="auto"/>
        </w:rPr>
        <w:t>柴油机回燃油箱的管路上不得安装切断阀。</w:t>
      </w:r>
    </w:p>
    <w:p w14:paraId="5B54CC50">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lang w:val="en-US" w:eastAsia="zh-CN"/>
        </w:rPr>
      </w:pPr>
      <w:r>
        <w:rPr>
          <w:rFonts w:hint="eastAsia" w:hAnsi="黑体" w:cs="黑体"/>
          <w:snapToGrid w:val="0"/>
          <w:color w:val="auto"/>
          <w:spacing w:val="8"/>
          <w:kern w:val="0"/>
          <w:sz w:val="21"/>
          <w:szCs w:val="21"/>
          <w:lang w:val="en-US" w:eastAsia="zh-CN"/>
        </w:rPr>
        <w:t>6</w:t>
      </w:r>
      <w:r>
        <w:rPr>
          <w:rFonts w:hint="eastAsia" w:ascii="黑体" w:hAnsi="黑体" w:eastAsia="黑体" w:cs="黑体"/>
          <w:snapToGrid w:val="0"/>
          <w:color w:val="auto"/>
          <w:spacing w:val="8"/>
          <w:kern w:val="0"/>
          <w:sz w:val="21"/>
          <w:szCs w:val="21"/>
          <w:lang w:val="en-US" w:eastAsia="zh-CN"/>
        </w:rPr>
        <w:t>.6.2.</w:t>
      </w:r>
      <w:r>
        <w:rPr>
          <w:rFonts w:hint="eastAsia"/>
          <w:color w:val="auto"/>
          <w:lang w:val="en-US" w:eastAsia="zh-CN"/>
        </w:rPr>
        <w:t xml:space="preserve">2  </w:t>
      </w:r>
      <w:r>
        <w:rPr>
          <w:rFonts w:hint="eastAsia" w:ascii="黑体" w:hAnsi="黑体" w:eastAsia="黑体" w:cs="黑体"/>
          <w:snapToGrid w:val="0"/>
          <w:color w:val="auto"/>
          <w:spacing w:val="8"/>
          <w:kern w:val="0"/>
          <w:sz w:val="21"/>
          <w:szCs w:val="21"/>
          <w:lang w:val="en-US" w:eastAsia="zh-CN"/>
        </w:rPr>
        <w:t xml:space="preserve">仪器检测 </w:t>
      </w:r>
    </w:p>
    <w:p w14:paraId="55FDF618">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6.6.2.2.1 </w:t>
      </w:r>
      <w:r>
        <w:rPr>
          <w:rFonts w:hint="eastAsia" w:ascii="宋体" w:hAnsi="宋体" w:eastAsia="宋体" w:cs="宋体"/>
          <w:snapToGrid w:val="0"/>
          <w:color w:val="auto"/>
          <w:kern w:val="0"/>
          <w:sz w:val="21"/>
          <w:szCs w:val="21"/>
          <w:lang w:val="en-US" w:eastAsia="zh-CN" w:bidi="ar"/>
        </w:rPr>
        <w:t xml:space="preserve"> 对稳定运行的自备电源装置发热情况进行测试，外部可见的连接端子、可触及部件、外壳、线缆等部位，最高温度或</w:t>
      </w:r>
      <w:r>
        <w:rPr>
          <w:rFonts w:hint="eastAsia" w:ascii="宋体" w:hAnsi="宋体" w:cs="宋体"/>
          <w:snapToGrid w:val="0"/>
          <w:color w:val="auto"/>
          <w:kern w:val="0"/>
          <w:sz w:val="21"/>
          <w:szCs w:val="21"/>
          <w:lang w:val="en-US" w:eastAsia="zh-CN" w:bidi="ar"/>
        </w:rPr>
        <w:t>允许</w:t>
      </w:r>
      <w:r>
        <w:rPr>
          <w:rFonts w:hint="eastAsia" w:ascii="宋体" w:hAnsi="宋体" w:eastAsia="宋体" w:cs="宋体"/>
          <w:snapToGrid w:val="0"/>
          <w:color w:val="auto"/>
          <w:kern w:val="0"/>
          <w:sz w:val="21"/>
          <w:szCs w:val="21"/>
          <w:lang w:val="en-US" w:eastAsia="zh-CN" w:bidi="ar"/>
        </w:rPr>
        <w:t xml:space="preserve">温升应满足表3、表4的规定。 </w:t>
      </w:r>
    </w:p>
    <w:p w14:paraId="58D05B13">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6.6.2.2.2  </w:t>
      </w:r>
      <w:r>
        <w:rPr>
          <w:rFonts w:hint="eastAsia" w:ascii="宋体" w:hAnsi="宋体" w:eastAsia="宋体" w:cs="宋体"/>
          <w:snapToGrid w:val="0"/>
          <w:color w:val="auto"/>
          <w:kern w:val="0"/>
          <w:sz w:val="21"/>
          <w:szCs w:val="21"/>
          <w:lang w:val="en-US" w:eastAsia="zh-CN" w:bidi="ar"/>
        </w:rPr>
        <w:t>设备的最高允许温度和允许温升不应超过相应设备的国家标准规定值或制造商的规定。</w:t>
      </w:r>
    </w:p>
    <w:p w14:paraId="0B2684CA">
      <w:pPr>
        <w:widowControl/>
        <w:kinsoku w:val="0"/>
        <w:autoSpaceDE w:val="0"/>
        <w:autoSpaceDN w:val="0"/>
        <w:adjustRightInd w:val="0"/>
        <w:snapToGrid w:val="0"/>
        <w:jc w:val="left"/>
        <w:textAlignment w:val="baseline"/>
        <w:rPr>
          <w:rFonts w:hint="eastAsia" w:ascii="宋体" w:hAnsi="宋体" w:cs="宋体"/>
          <w:snapToGrid w:val="0"/>
          <w:color w:val="auto"/>
          <w:kern w:val="0"/>
          <w:szCs w:val="21"/>
          <w:lang w:bidi="ar"/>
        </w:rPr>
      </w:pPr>
      <w:r>
        <w:rPr>
          <w:rFonts w:hint="eastAsia" w:ascii="黑体" w:hAnsi="黑体" w:eastAsia="黑体" w:cs="黑体"/>
          <w:snapToGrid w:val="0"/>
          <w:color w:val="auto"/>
          <w:kern w:val="0"/>
          <w:sz w:val="21"/>
          <w:szCs w:val="21"/>
          <w:lang w:val="en-US" w:eastAsia="zh-CN" w:bidi="ar"/>
        </w:rPr>
        <w:t>6.6.2.2.3</w:t>
      </w:r>
      <w:r>
        <w:rPr>
          <w:rFonts w:hint="eastAsia" w:ascii="宋体" w:hAnsi="宋体" w:cs="宋体"/>
          <w:snapToGrid w:val="0"/>
          <w:color w:val="auto"/>
          <w:kern w:val="0"/>
          <w:szCs w:val="21"/>
          <w:lang w:bidi="ar"/>
        </w:rPr>
        <w:t xml:space="preserve">  自备发电机</w:t>
      </w:r>
    </w:p>
    <w:p w14:paraId="7163BE5E">
      <w:pPr>
        <w:widowControl/>
        <w:kinsoku w:val="0"/>
        <w:autoSpaceDE w:val="0"/>
        <w:autoSpaceDN w:val="0"/>
        <w:adjustRightInd w:val="0"/>
        <w:snapToGrid w:val="0"/>
        <w:ind w:firstLine="420" w:firstLineChars="200"/>
        <w:jc w:val="left"/>
        <w:textAlignment w:val="baseline"/>
        <w:rPr>
          <w:rFonts w:hint="eastAsia" w:ascii="宋体" w:hAnsi="宋体" w:eastAsia="宋体" w:cs="宋体"/>
          <w:snapToGrid w:val="0"/>
          <w:color w:val="auto"/>
          <w:kern w:val="0"/>
          <w:szCs w:val="21"/>
          <w:lang w:eastAsia="zh-CN" w:bidi="ar"/>
        </w:rPr>
      </w:pPr>
      <w:r>
        <w:rPr>
          <w:rFonts w:hint="eastAsia" w:ascii="宋体" w:hAnsi="宋体" w:cs="宋体"/>
          <w:snapToGrid w:val="0"/>
          <w:color w:val="auto"/>
          <w:kern w:val="0"/>
          <w:szCs w:val="21"/>
          <w:lang w:bidi="ar"/>
        </w:rPr>
        <w:t>应满足以下要求</w:t>
      </w:r>
      <w:r>
        <w:rPr>
          <w:rFonts w:hint="eastAsia" w:ascii="宋体" w:hAnsi="宋体" w:cs="宋体"/>
          <w:snapToGrid w:val="0"/>
          <w:color w:val="auto"/>
          <w:kern w:val="0"/>
          <w:szCs w:val="21"/>
          <w:lang w:eastAsia="zh-CN" w:bidi="ar"/>
        </w:rPr>
        <w:t>：</w:t>
      </w:r>
    </w:p>
    <w:p w14:paraId="6159AF3B">
      <w:pPr>
        <w:widowControl/>
        <w:kinsoku w:val="0"/>
        <w:autoSpaceDE w:val="0"/>
        <w:autoSpaceDN w:val="0"/>
        <w:adjustRightInd w:val="0"/>
        <w:snapToGrid w:val="0"/>
        <w:ind w:left="840" w:hanging="840" w:hangingChars="400"/>
        <w:jc w:val="left"/>
        <w:textAlignment w:val="baseline"/>
        <w:rPr>
          <w:rFonts w:hint="eastAsia" w:ascii="宋体" w:hAnsi="宋体" w:eastAsia="宋体" w:cs="宋体"/>
          <w:snapToGrid w:val="0"/>
          <w:color w:val="auto"/>
          <w:kern w:val="0"/>
          <w:szCs w:val="21"/>
          <w:lang w:val="en-US" w:eastAsia="zh-CN" w:bidi="ar"/>
        </w:rPr>
      </w:pPr>
      <w:r>
        <w:rPr>
          <w:rFonts w:hint="eastAsia" w:ascii="宋体" w:hAnsi="宋体" w:cs="宋体"/>
          <w:snapToGrid w:val="0"/>
          <w:color w:val="auto"/>
          <w:kern w:val="0"/>
          <w:szCs w:val="21"/>
          <w:lang w:val="en-US" w:eastAsia="zh-CN" w:bidi="ar"/>
        </w:rPr>
        <w:t xml:space="preserve">    a</w:t>
      </w:r>
      <w:r>
        <w:rPr>
          <w:rFonts w:ascii="宋体" w:hAnsi="宋体" w:cs="宋体"/>
          <w:color w:val="auto"/>
        </w:rPr>
        <w:t>)</w:t>
      </w:r>
      <w:r>
        <w:rPr>
          <w:rFonts w:hint="eastAsia" w:ascii="宋体" w:hAnsi="宋体" w:cs="宋体"/>
          <w:color w:val="auto"/>
          <w:lang w:val="en-US" w:eastAsia="zh-CN"/>
        </w:rPr>
        <w:t xml:space="preserve">  </w:t>
      </w:r>
      <w:r>
        <w:rPr>
          <w:rFonts w:hint="eastAsia" w:ascii="宋体" w:hAnsi="宋体" w:cs="宋体"/>
          <w:snapToGrid w:val="0"/>
          <w:color w:val="auto"/>
          <w:kern w:val="0"/>
          <w:szCs w:val="21"/>
          <w:lang w:bidi="ar"/>
        </w:rPr>
        <w:t>当市电中断，作为消防供配电设施的发电机组应在30s内供电</w:t>
      </w:r>
      <w:r>
        <w:rPr>
          <w:rFonts w:hint="eastAsia" w:ascii="宋体" w:hAnsi="宋体" w:cs="宋体"/>
          <w:snapToGrid w:val="0"/>
          <w:color w:val="auto"/>
          <w:kern w:val="0"/>
          <w:szCs w:val="21"/>
          <w:lang w:eastAsia="zh-CN" w:bidi="ar"/>
        </w:rPr>
        <w:t>。</w:t>
      </w:r>
      <w:r>
        <w:rPr>
          <w:rFonts w:hint="eastAsia" w:ascii="宋体" w:hAnsi="宋体" w:cs="宋体"/>
          <w:snapToGrid w:val="0"/>
          <w:color w:val="auto"/>
          <w:kern w:val="0"/>
          <w:szCs w:val="21"/>
          <w:lang w:bidi="ar"/>
        </w:rPr>
        <w:t>应急供电的低压机组应在30s内供电、高压机组应在60s内供电，并能正常运行，查看输出功率、电压、频率和相位正常。手动控制方式启动机组，机组运行及输出功率、电压、频率、相位的显示均应正常</w:t>
      </w:r>
      <w:r>
        <w:rPr>
          <w:rFonts w:hint="eastAsia" w:ascii="宋体" w:hAnsi="宋体" w:cs="宋体"/>
          <w:snapToGrid w:val="0"/>
          <w:color w:val="auto"/>
          <w:kern w:val="0"/>
          <w:szCs w:val="21"/>
          <w:lang w:eastAsia="zh-CN" w:bidi="ar"/>
        </w:rPr>
        <w:t>；</w:t>
      </w:r>
    </w:p>
    <w:p w14:paraId="1AC13C33">
      <w:pPr>
        <w:widowControl/>
        <w:kinsoku w:val="0"/>
        <w:autoSpaceDE w:val="0"/>
        <w:autoSpaceDN w:val="0"/>
        <w:adjustRightInd w:val="0"/>
        <w:snapToGrid w:val="0"/>
        <w:ind w:left="840" w:hanging="840" w:hangingChars="400"/>
        <w:jc w:val="left"/>
        <w:textAlignment w:val="baseline"/>
        <w:rPr>
          <w:rFonts w:hint="eastAsia" w:ascii="宋体" w:hAnsi="宋体" w:cs="宋体"/>
          <w:snapToGrid w:val="0"/>
          <w:color w:val="auto"/>
          <w:kern w:val="0"/>
          <w:szCs w:val="21"/>
          <w:lang w:bidi="ar"/>
        </w:rPr>
      </w:pPr>
      <w:r>
        <w:rPr>
          <w:rFonts w:hint="eastAsia" w:ascii="宋体" w:hAnsi="宋体" w:cs="宋体"/>
          <w:snapToGrid w:val="0"/>
          <w:color w:val="auto"/>
          <w:kern w:val="0"/>
          <w:sz w:val="21"/>
          <w:szCs w:val="21"/>
          <w:lang w:val="en-US" w:eastAsia="zh-CN" w:bidi="ar"/>
        </w:rPr>
        <w:t xml:space="preserve">   </w:t>
      </w:r>
      <w:r>
        <w:rPr>
          <w:rFonts w:hint="eastAsia" w:ascii="宋体" w:hAnsi="宋体" w:cs="宋体"/>
          <w:snapToGrid w:val="0"/>
          <w:color w:val="auto"/>
          <w:kern w:val="0"/>
          <w:szCs w:val="21"/>
          <w:lang w:val="en-US" w:eastAsia="zh-CN" w:bidi="ar"/>
        </w:rPr>
        <w:t xml:space="preserve"> b</w:t>
      </w:r>
      <w:r>
        <w:rPr>
          <w:rFonts w:ascii="宋体" w:hAnsi="宋体" w:cs="宋体"/>
          <w:color w:val="auto"/>
        </w:rPr>
        <w:t>)</w:t>
      </w:r>
      <w:r>
        <w:rPr>
          <w:rFonts w:hint="eastAsia" w:ascii="宋体" w:hAnsi="宋体" w:cs="宋体"/>
          <w:color w:val="auto"/>
          <w:lang w:val="en-US" w:eastAsia="zh-CN"/>
        </w:rPr>
        <w:t xml:space="preserve">  </w:t>
      </w:r>
      <w:r>
        <w:rPr>
          <w:rFonts w:hint="eastAsia" w:ascii="宋体" w:hAnsi="宋体" w:cs="宋体"/>
          <w:snapToGrid w:val="0"/>
          <w:color w:val="auto"/>
          <w:kern w:val="0"/>
          <w:szCs w:val="21"/>
          <w:lang w:bidi="ar"/>
        </w:rPr>
        <w:t>备用发电机组应以实际设计最大负荷工况运行至少1小时，机组应能满足夏季最高环境温度正常运行。每3年需检测一次。</w:t>
      </w:r>
      <w:bookmarkStart w:id="393" w:name="_Toc7385"/>
      <w:bookmarkStart w:id="394" w:name="_Toc19843"/>
      <w:bookmarkStart w:id="395" w:name="_Toc29950"/>
      <w:bookmarkStart w:id="396" w:name="_Toc9611"/>
      <w:bookmarkStart w:id="397" w:name="_Toc27382"/>
      <w:bookmarkStart w:id="398" w:name="_Toc8704"/>
      <w:bookmarkStart w:id="399" w:name="_Toc3805"/>
      <w:bookmarkStart w:id="400" w:name="_Toc12608"/>
      <w:bookmarkStart w:id="401" w:name="_Toc7505"/>
      <w:bookmarkStart w:id="402" w:name="_Toc2423"/>
      <w:bookmarkStart w:id="403" w:name="_Toc2321"/>
      <w:bookmarkStart w:id="404" w:name="_Toc19263"/>
      <w:bookmarkStart w:id="405" w:name="_Toc10939"/>
      <w:bookmarkStart w:id="406" w:name="_Toc17643"/>
      <w:bookmarkStart w:id="407" w:name="_Toc30998"/>
      <w:bookmarkStart w:id="408" w:name="_Toc28353"/>
      <w:bookmarkStart w:id="409" w:name="_Toc5182"/>
      <w:bookmarkStart w:id="410" w:name="_Toc28489"/>
      <w:bookmarkStart w:id="411" w:name="_Toc3671"/>
      <w:bookmarkStart w:id="412" w:name="_Toc924"/>
      <w:bookmarkStart w:id="413" w:name="_Toc27161"/>
      <w:bookmarkStart w:id="414" w:name="_Toc27919"/>
      <w:bookmarkStart w:id="415" w:name="_Toc7441"/>
      <w:bookmarkStart w:id="416" w:name="_Toc25393"/>
    </w:p>
    <w:p w14:paraId="3A6DE769">
      <w:pPr>
        <w:keepNext w:val="0"/>
        <w:keepLines w:val="0"/>
        <w:pageBreakBefore w:val="0"/>
        <w:widowControl/>
        <w:kinsoku w:val="0"/>
        <w:wordWrap/>
        <w:overflowPunct/>
        <w:topLinePunct w:val="0"/>
        <w:autoSpaceDE w:val="0"/>
        <w:autoSpaceDN w:val="0"/>
        <w:bidi w:val="0"/>
        <w:adjustRightInd w:val="0"/>
        <w:snapToGrid w:val="0"/>
        <w:spacing w:before="157" w:beforeLines="50"/>
        <w:ind w:left="0" w:hanging="840" w:hangingChars="400"/>
        <w:jc w:val="left"/>
        <w:textAlignment w:val="baseline"/>
        <w:rPr>
          <w:rFonts w:hint="eastAsia" w:ascii="黑体" w:hAnsi="黑体" w:eastAsia="黑体" w:cs="黑体"/>
          <w:color w:val="auto"/>
          <w:spacing w:val="11"/>
          <w:sz w:val="21"/>
          <w:szCs w:val="21"/>
          <w:lang w:val="en-US" w:eastAsia="zh-CN"/>
        </w:rPr>
      </w:pPr>
      <w:r>
        <w:rPr>
          <w:rFonts w:hint="eastAsia" w:ascii="黑体" w:hAnsi="黑体" w:eastAsia="黑体" w:cs="黑体"/>
          <w:snapToGrid w:val="0"/>
          <w:color w:val="auto"/>
          <w:kern w:val="0"/>
          <w:sz w:val="21"/>
          <w:szCs w:val="21"/>
          <w:lang w:val="en-US" w:eastAsia="zh-CN" w:bidi="ar"/>
        </w:rPr>
        <w:t>6.7</w:t>
      </w:r>
      <w:r>
        <w:rPr>
          <w:rFonts w:hint="eastAsia" w:ascii="黑体" w:hAnsi="黑体" w:eastAsia="黑体" w:cs="黑体"/>
          <w:color w:val="auto"/>
          <w:spacing w:val="11"/>
          <w:sz w:val="21"/>
          <w:szCs w:val="21"/>
          <w:lang w:val="en-US" w:eastAsia="zh-CN"/>
        </w:rPr>
        <w:t xml:space="preserve">  接地和等电位联结</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hint="eastAsia" w:ascii="黑体" w:hAnsi="黑体" w:eastAsia="黑体" w:cs="黑体"/>
          <w:color w:val="auto"/>
          <w:spacing w:val="11"/>
          <w:sz w:val="21"/>
          <w:szCs w:val="21"/>
          <w:lang w:val="en-US" w:eastAsia="zh-CN"/>
        </w:rPr>
        <w:t xml:space="preserve"> </w:t>
      </w:r>
    </w:p>
    <w:p w14:paraId="203A0AA9">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157" w:beforeLines="50" w:after="157" w:afterLines="50" w:line="240" w:lineRule="auto"/>
        <w:ind w:left="0"/>
        <w:textAlignment w:val="baseline"/>
        <w:outlineLvl w:val="3"/>
        <w:rPr>
          <w:rFonts w:hint="default" w:ascii="黑体" w:hAnsi="黑体" w:eastAsia="黑体" w:cs="黑体"/>
          <w:snapToGrid w:val="0"/>
          <w:color w:val="auto"/>
          <w:kern w:val="0"/>
          <w:sz w:val="21"/>
          <w:szCs w:val="21"/>
          <w:lang w:val="en-US" w:eastAsia="zh-CN" w:bidi="ar"/>
        </w:rPr>
      </w:pPr>
      <w:bookmarkStart w:id="417" w:name="_Toc31067"/>
      <w:r>
        <w:rPr>
          <w:rFonts w:hint="eastAsia" w:ascii="黑体" w:hAnsi="黑体" w:eastAsia="黑体" w:cs="黑体"/>
          <w:snapToGrid w:val="0"/>
          <w:color w:val="auto"/>
          <w:kern w:val="0"/>
          <w:sz w:val="21"/>
          <w:szCs w:val="21"/>
          <w:lang w:val="en-US" w:eastAsia="zh-CN" w:bidi="ar"/>
        </w:rPr>
        <w:t xml:space="preserve">6.7.1  </w:t>
      </w:r>
      <w:r>
        <w:rPr>
          <w:rFonts w:hint="eastAsia" w:ascii="黑体" w:hAnsi="黑体" w:eastAsia="黑体" w:cs="黑体"/>
          <w:color w:val="auto"/>
          <w:spacing w:val="11"/>
          <w:sz w:val="21"/>
          <w:szCs w:val="21"/>
          <w:lang w:val="en-US" w:eastAsia="zh-CN"/>
        </w:rPr>
        <w:t>接地要求</w:t>
      </w:r>
    </w:p>
    <w:p w14:paraId="3618BAB7">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157" w:beforeLines="50" w:after="157" w:afterLines="50" w:line="240" w:lineRule="auto"/>
        <w:ind w:left="0"/>
        <w:textAlignment w:val="baseline"/>
        <w:outlineLvl w:val="9"/>
        <w:rPr>
          <w:rFonts w:hint="eastAsia" w:ascii="黑体" w:hAnsi="黑体" w:eastAsia="黑体" w:cs="黑体"/>
          <w:color w:val="auto"/>
          <w:spacing w:val="11"/>
          <w:sz w:val="21"/>
          <w:szCs w:val="21"/>
          <w:lang w:val="en-US" w:eastAsia="zh-CN"/>
        </w:rPr>
      </w:pPr>
      <w:r>
        <w:rPr>
          <w:rFonts w:hint="eastAsia" w:ascii="黑体" w:hAnsi="黑体" w:eastAsia="黑体" w:cs="黑体"/>
          <w:snapToGrid w:val="0"/>
          <w:color w:val="auto"/>
          <w:kern w:val="0"/>
          <w:sz w:val="21"/>
          <w:szCs w:val="21"/>
          <w:lang w:val="en-US" w:eastAsia="zh-CN" w:bidi="ar"/>
        </w:rPr>
        <w:t xml:space="preserve">6.7.1.1  </w:t>
      </w:r>
      <w:r>
        <w:rPr>
          <w:rFonts w:hint="eastAsia" w:ascii="黑体" w:hAnsi="黑体" w:eastAsia="黑体" w:cs="黑体"/>
          <w:color w:val="auto"/>
          <w:spacing w:val="11"/>
          <w:sz w:val="21"/>
          <w:szCs w:val="21"/>
          <w:lang w:val="en-US" w:eastAsia="zh-CN"/>
        </w:rPr>
        <w:t>直观检查</w:t>
      </w:r>
      <w:bookmarkEnd w:id="417"/>
      <w:r>
        <w:rPr>
          <w:rFonts w:hint="eastAsia" w:ascii="黑体" w:hAnsi="黑体" w:eastAsia="黑体" w:cs="黑体"/>
          <w:color w:val="auto"/>
          <w:spacing w:val="11"/>
          <w:sz w:val="21"/>
          <w:szCs w:val="21"/>
          <w:lang w:val="en-US" w:eastAsia="zh-CN"/>
        </w:rPr>
        <w:t xml:space="preserve"> </w:t>
      </w:r>
    </w:p>
    <w:p w14:paraId="11B3125A">
      <w:pPr>
        <w:keepNext w:val="0"/>
        <w:keepLines w:val="0"/>
        <w:widowControl/>
        <w:suppressLineNumbers w:val="0"/>
        <w:jc w:val="left"/>
        <w:rPr>
          <w:rFonts w:hint="default"/>
          <w:color w:val="auto"/>
          <w:lang w:val="en-US"/>
        </w:rPr>
      </w:pPr>
      <w:r>
        <w:rPr>
          <w:rFonts w:hint="eastAsia" w:ascii="黑体" w:hAnsi="黑体" w:eastAsia="黑体" w:cs="黑体"/>
          <w:snapToGrid w:val="0"/>
          <w:color w:val="auto"/>
          <w:kern w:val="0"/>
          <w:sz w:val="21"/>
          <w:szCs w:val="21"/>
          <w:lang w:val="en-US" w:eastAsia="zh-CN" w:bidi="ar"/>
        </w:rPr>
        <w:t>6.7.1.1.1</w:t>
      </w:r>
      <w:r>
        <w:rPr>
          <w:rFonts w:ascii="黑体" w:hAnsi="宋体" w:eastAsia="黑体" w:cs="黑体"/>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具有基本绝缘和外露导电部分的电气设备，除用隔离变压器供电者外，均应连接保护接地线接地。 </w:t>
      </w:r>
    </w:p>
    <w:p w14:paraId="1D1253A2">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color w:val="auto"/>
          <w:lang w:val="en-US"/>
        </w:rPr>
      </w:pPr>
      <w:r>
        <w:rPr>
          <w:rFonts w:hint="eastAsia" w:ascii="黑体" w:hAnsi="黑体" w:eastAsia="黑体" w:cs="黑体"/>
          <w:snapToGrid w:val="0"/>
          <w:color w:val="auto"/>
          <w:kern w:val="0"/>
          <w:sz w:val="21"/>
          <w:szCs w:val="21"/>
          <w:lang w:val="en-US" w:eastAsia="zh-CN" w:bidi="ar"/>
        </w:rPr>
        <w:t>6.7.1.1.2</w:t>
      </w:r>
      <w:r>
        <w:rPr>
          <w:rFonts w:ascii="黑体" w:hAnsi="宋体" w:eastAsia="黑体" w:cs="黑体"/>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电气装置应根据防火和防电击的需要选用合适的接地系统，系统接地型式符合GB</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14050中</w:t>
      </w:r>
      <w:r>
        <w:rPr>
          <w:rFonts w:hint="eastAsia" w:ascii="宋体" w:hAnsi="宋体" w:cs="宋体"/>
          <w:color w:val="auto"/>
          <w:kern w:val="0"/>
          <w:sz w:val="21"/>
          <w:szCs w:val="21"/>
          <w:lang w:val="en-US" w:eastAsia="zh-CN" w:bidi="ar"/>
        </w:rPr>
        <w:t>第5章</w:t>
      </w:r>
      <w:r>
        <w:rPr>
          <w:rFonts w:hint="eastAsia" w:ascii="宋体" w:hAnsi="宋体" w:eastAsia="宋体" w:cs="宋体"/>
          <w:color w:val="auto"/>
          <w:kern w:val="0"/>
          <w:sz w:val="21"/>
          <w:szCs w:val="21"/>
          <w:lang w:val="en-US" w:eastAsia="zh-CN" w:bidi="ar"/>
        </w:rPr>
        <w:t>的要求。</w:t>
      </w:r>
      <w:r>
        <w:rPr>
          <w:rFonts w:hint="eastAsia" w:ascii="宋体" w:hAnsi="宋体" w:eastAsia="宋体" w:cs="宋体"/>
          <w:color w:val="auto"/>
          <w:kern w:val="0"/>
          <w:sz w:val="21"/>
          <w:szCs w:val="21"/>
          <w:lang w:val="en-US" w:eastAsia="zh-CN" w:bidi="ar"/>
        </w:rPr>
        <w:t xml:space="preserve"> </w:t>
      </w:r>
    </w:p>
    <w:p w14:paraId="19B88BBA">
      <w:pPr>
        <w:keepNext w:val="0"/>
        <w:keepLines w:val="0"/>
        <w:widowControl/>
        <w:suppressLineNumbers w:val="0"/>
        <w:jc w:val="left"/>
        <w:rPr>
          <w:rFonts w:hint="default"/>
          <w:color w:val="auto"/>
          <w:lang w:val="en-US"/>
        </w:rPr>
      </w:pPr>
      <w:r>
        <w:rPr>
          <w:rFonts w:hint="eastAsia" w:ascii="黑体" w:hAnsi="黑体" w:eastAsia="黑体" w:cs="黑体"/>
          <w:snapToGrid w:val="0"/>
          <w:color w:val="auto"/>
          <w:kern w:val="0"/>
          <w:sz w:val="21"/>
          <w:szCs w:val="21"/>
          <w:lang w:val="en-US" w:eastAsia="zh-CN" w:bidi="ar"/>
        </w:rPr>
        <w:t>6.7.1.1.3</w:t>
      </w:r>
      <w:r>
        <w:rPr>
          <w:rFonts w:ascii="黑体" w:hAnsi="宋体" w:eastAsia="黑体" w:cs="黑体"/>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保护导体（PE）、保护接地中性导体（PEN）、等电位联结导体和接地极引入线不应接入刀开关或熔断器。</w:t>
      </w:r>
    </w:p>
    <w:p w14:paraId="3B094098">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color w:val="auto"/>
          <w:lang w:val="en-US"/>
        </w:rPr>
      </w:pPr>
      <w:r>
        <w:rPr>
          <w:rFonts w:hint="eastAsia" w:ascii="黑体" w:hAnsi="黑体" w:eastAsia="黑体" w:cs="黑体"/>
          <w:snapToGrid w:val="0"/>
          <w:color w:val="auto"/>
          <w:kern w:val="0"/>
          <w:sz w:val="21"/>
          <w:szCs w:val="21"/>
          <w:lang w:val="en-US" w:eastAsia="zh-CN" w:bidi="ar"/>
        </w:rPr>
        <w:t>6.7.1.1.4</w:t>
      </w:r>
      <w:r>
        <w:rPr>
          <w:rFonts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TN-C-S 接地系统在保护导体</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PE</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与中性导体 (N</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分开后就不应再合并</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TN-S 接地系统应分别设置中性导体 (N</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、保护导体</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PE</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 </w:t>
      </w:r>
    </w:p>
    <w:p w14:paraId="29097FF8">
      <w:pPr>
        <w:keepNext w:val="0"/>
        <w:keepLines w:val="0"/>
        <w:widowControl/>
        <w:suppressLineNumbers w:val="0"/>
        <w:jc w:val="left"/>
        <w:rPr>
          <w:rFonts w:hint="default"/>
          <w:color w:val="auto"/>
          <w:lang w:val="en-US"/>
        </w:rPr>
      </w:pPr>
      <w:r>
        <w:rPr>
          <w:rFonts w:hint="eastAsia" w:ascii="黑体" w:hAnsi="黑体" w:eastAsia="黑体" w:cs="黑体"/>
          <w:snapToGrid w:val="0"/>
          <w:color w:val="auto"/>
          <w:kern w:val="0"/>
          <w:sz w:val="21"/>
          <w:szCs w:val="21"/>
          <w:lang w:val="en-US" w:eastAsia="zh-CN" w:bidi="ar"/>
        </w:rPr>
        <w:t>6.7.1.1.5</w:t>
      </w:r>
      <w:r>
        <w:rPr>
          <w:rFonts w:ascii="黑体" w:hAnsi="宋体" w:eastAsia="黑体" w:cs="黑体"/>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保护接地线应防止机械损伤和化学腐蚀。在可能遭到机械损伤处，均应用管子或角钢加以保护。接地线穿过墙壁、楼板和地坪处应加装钢管或其他坚固的保护套管，有化学腐蚀的部位还应采取防腐蚀措施。 </w:t>
      </w:r>
    </w:p>
    <w:p w14:paraId="26E3073C">
      <w:pPr>
        <w:keepNext w:val="0"/>
        <w:keepLines w:val="0"/>
        <w:widowControl/>
        <w:suppressLineNumbers w:val="0"/>
        <w:jc w:val="left"/>
        <w:rPr>
          <w:rFonts w:hint="default"/>
          <w:color w:val="auto"/>
          <w:lang w:val="en-US"/>
        </w:rPr>
      </w:pPr>
      <w:r>
        <w:rPr>
          <w:rFonts w:hint="eastAsia" w:ascii="黑体" w:hAnsi="黑体" w:eastAsia="黑体" w:cs="黑体"/>
          <w:snapToGrid w:val="0"/>
          <w:color w:val="auto"/>
          <w:kern w:val="0"/>
          <w:sz w:val="21"/>
          <w:szCs w:val="21"/>
          <w:lang w:val="en-US" w:eastAsia="zh-CN" w:bidi="ar"/>
        </w:rPr>
        <w:t>6.7.1.1.6</w:t>
      </w:r>
      <w:r>
        <w:rPr>
          <w:rFonts w:ascii="黑体" w:hAnsi="宋体" w:eastAsia="黑体" w:cs="黑体"/>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每台电气设备均应以单独的接地线与接地干线相连接，不得在一个接地线中串接几台电气设备。 </w:t>
      </w:r>
    </w:p>
    <w:p w14:paraId="2282972A">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color w:val="auto"/>
          <w:lang w:val="en-US"/>
        </w:rPr>
      </w:pPr>
      <w:r>
        <w:rPr>
          <w:rFonts w:hint="eastAsia" w:ascii="黑体" w:hAnsi="黑体" w:eastAsia="黑体" w:cs="黑体"/>
          <w:snapToGrid w:val="0"/>
          <w:color w:val="auto"/>
          <w:kern w:val="0"/>
          <w:sz w:val="21"/>
          <w:szCs w:val="21"/>
          <w:lang w:val="en-US" w:eastAsia="zh-CN" w:bidi="ar"/>
        </w:rPr>
        <w:t>6.7.1.1.7</w:t>
      </w:r>
      <w:r>
        <w:rPr>
          <w:rFonts w:ascii="黑体" w:hAnsi="宋体" w:eastAsia="黑体" w:cs="黑体"/>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接地干线的连接应采用焊接，焊接必须牢固无虚焊。有色金属接地干线不能采用焊接时，可采用螺栓连接。电气设备上的接地线应采用镀锌螺栓连接。 </w:t>
      </w:r>
    </w:p>
    <w:p w14:paraId="754FF206">
      <w:pPr>
        <w:keepNext w:val="0"/>
        <w:keepLines w:val="0"/>
        <w:pageBreakBefore w:val="0"/>
        <w:widowControl/>
        <w:numPr>
          <w:ilvl w:val="0"/>
          <w:numId w:val="0"/>
        </w:numPr>
        <w:tabs>
          <w:tab w:val="right" w:leader="dot" w:pos="9334"/>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pacing w:val="11"/>
          <w:sz w:val="22"/>
          <w:szCs w:val="22"/>
          <w:lang w:val="en-US" w:eastAsia="zh-CN"/>
        </w:rPr>
      </w:pPr>
      <w:r>
        <w:rPr>
          <w:rFonts w:hint="eastAsia" w:ascii="黑体" w:hAnsi="黑体" w:eastAsia="黑体" w:cs="黑体"/>
          <w:snapToGrid w:val="0"/>
          <w:color w:val="auto"/>
          <w:kern w:val="0"/>
          <w:sz w:val="21"/>
          <w:szCs w:val="21"/>
          <w:lang w:val="en-US" w:eastAsia="zh-CN" w:bidi="ar"/>
        </w:rPr>
        <w:t xml:space="preserve">6.7.1.1.8  </w:t>
      </w:r>
      <w:r>
        <w:rPr>
          <w:rFonts w:hint="eastAsia" w:ascii="宋体" w:hAnsi="宋体" w:eastAsia="宋体" w:cs="宋体"/>
          <w:color w:val="auto"/>
          <w:kern w:val="0"/>
          <w:sz w:val="21"/>
          <w:szCs w:val="21"/>
          <w:lang w:val="en-US" w:eastAsia="zh-CN" w:bidi="ar"/>
        </w:rPr>
        <w:t>对于给电气装置供电的干线回路中的保护接地中性导体（PEN ），按机械强度要求铜线不应小于10mm</w:t>
      </w:r>
      <w:r>
        <w:rPr>
          <w:rFonts w:hint="eastAsia" w:ascii="宋体" w:hAnsi="宋体" w:eastAsia="宋体" w:cs="宋体"/>
          <w:color w:val="auto"/>
          <w:kern w:val="0"/>
          <w:sz w:val="21"/>
          <w:szCs w:val="21"/>
          <w:vertAlign w:val="superscript"/>
          <w:lang w:val="en-US" w:eastAsia="zh-CN" w:bidi="ar"/>
        </w:rPr>
        <w:t>2</w:t>
      </w:r>
      <w:r>
        <w:rPr>
          <w:rFonts w:hint="eastAsia" w:ascii="宋体" w:hAnsi="宋体" w:eastAsia="宋体" w:cs="宋体"/>
          <w:color w:val="auto"/>
          <w:kern w:val="0"/>
          <w:sz w:val="21"/>
          <w:szCs w:val="21"/>
          <w:lang w:val="en-US" w:eastAsia="zh-CN" w:bidi="ar"/>
        </w:rPr>
        <w:t>，采用多芯电缆的芯线作PEN 线时不应小于4mm</w:t>
      </w:r>
      <w:r>
        <w:rPr>
          <w:rFonts w:hint="eastAsia" w:ascii="宋体" w:hAnsi="宋体" w:eastAsia="宋体" w:cs="宋体"/>
          <w:color w:val="auto"/>
          <w:kern w:val="0"/>
          <w:sz w:val="21"/>
          <w:szCs w:val="21"/>
          <w:vertAlign w:val="superscript"/>
          <w:lang w:val="en-US" w:eastAsia="zh-CN" w:bidi="ar"/>
        </w:rPr>
        <w:t>2</w:t>
      </w:r>
      <w:r>
        <w:rPr>
          <w:rFonts w:hint="eastAsia" w:ascii="宋体" w:hAnsi="宋体" w:eastAsia="宋体" w:cs="宋体"/>
          <w:color w:val="auto"/>
          <w:kern w:val="0"/>
          <w:sz w:val="21"/>
          <w:szCs w:val="21"/>
          <w:lang w:val="en-US" w:eastAsia="zh-CN" w:bidi="ar"/>
        </w:rPr>
        <w:t>。采用电缆或护套电线的芯线作保护导体（PE）时，最小截面不做规定。当PE(PEN）线所用材质与相线相同时，按热稳定要求PE(PEN）线最小截面积应符合表</w:t>
      </w: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的规定。当PE(PEN）线与相线为不同材质时，表</w:t>
      </w: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值应按不同材质的电导值进行换算。</w:t>
      </w:r>
    </w:p>
    <w:p w14:paraId="0D29923C">
      <w:pPr>
        <w:pStyle w:val="301"/>
        <w:bidi w:val="0"/>
        <w:rPr>
          <w:rFonts w:hint="eastAsia"/>
          <w:color w:val="auto"/>
          <w:lang w:val="en-US" w:eastAsia="zh-CN"/>
        </w:rPr>
      </w:pPr>
      <w:bookmarkStart w:id="418" w:name="_Toc19081"/>
      <w:bookmarkStart w:id="419" w:name="_Toc25037"/>
      <w:bookmarkStart w:id="420" w:name="_Toc32315"/>
      <w:bookmarkStart w:id="421" w:name="_Toc23304"/>
      <w:bookmarkStart w:id="422" w:name="_Toc16833"/>
      <w:bookmarkStart w:id="423" w:name="_Toc21792"/>
      <w:bookmarkStart w:id="424" w:name="_Toc14808"/>
      <w:bookmarkStart w:id="425" w:name="_Toc27152"/>
      <w:bookmarkStart w:id="426" w:name="_Toc32050"/>
      <w:bookmarkStart w:id="427" w:name="_Toc22548"/>
      <w:r>
        <w:rPr>
          <w:rFonts w:hint="eastAsia"/>
          <w:color w:val="auto"/>
          <w:lang w:val="en-US" w:eastAsia="zh-CN"/>
        </w:rPr>
        <w:t>相导体截面积与保护导体的最小截面对应关系</w:t>
      </w:r>
      <w:bookmarkEnd w:id="418"/>
      <w:bookmarkEnd w:id="419"/>
      <w:bookmarkEnd w:id="420"/>
      <w:bookmarkEnd w:id="421"/>
      <w:bookmarkEnd w:id="422"/>
      <w:bookmarkEnd w:id="423"/>
      <w:bookmarkEnd w:id="424"/>
      <w:bookmarkEnd w:id="425"/>
      <w:bookmarkEnd w:id="426"/>
      <w:bookmarkEnd w:id="427"/>
    </w:p>
    <w:tbl>
      <w:tblPr>
        <w:tblStyle w:val="88"/>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7"/>
        <w:gridCol w:w="3720"/>
        <w:gridCol w:w="3552"/>
      </w:tblGrid>
      <w:tr w14:paraId="3DDCA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9B5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相导体截面积S</w:t>
            </w:r>
          </w:p>
          <w:p w14:paraId="5672A4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mm²</w:t>
            </w:r>
          </w:p>
        </w:tc>
        <w:tc>
          <w:tcPr>
            <w:tcW w:w="37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579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保护导体的最小截面积</w:t>
            </w:r>
          </w:p>
          <w:p w14:paraId="2FAA6C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mm²</w:t>
            </w:r>
          </w:p>
        </w:tc>
      </w:tr>
      <w:tr w14:paraId="630A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AD252">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18"/>
                <w:szCs w:val="18"/>
                <w:u w:val="none"/>
              </w:rPr>
            </w:pP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39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保护导体与相导体使用相同材料</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D01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保护导体与相导体使用不同材料</w:t>
            </w:r>
          </w:p>
        </w:tc>
      </w:tr>
      <w:tr w14:paraId="0CD0C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3B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S≤16</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94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S</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90C6">
            <w:pPr>
              <w:keepNext w:val="0"/>
              <w:keepLines w:val="0"/>
              <w:pageBreakBefore w:val="0"/>
              <w:widowControl/>
              <w:kinsoku/>
              <w:wordWrap/>
              <w:overflowPunct/>
              <w:topLinePunct w:val="0"/>
              <w:autoSpaceDE/>
              <w:autoSpaceDN/>
              <w:bidi w:val="0"/>
              <w:adjustRightInd/>
              <w:snapToGrid/>
              <w:jc w:val="center"/>
              <w:rPr>
                <w:rFonts w:hint="default" w:ascii="宋体" w:hAnsi="宋体" w:eastAsia="宋体" w:cs="宋体"/>
                <w:i w:val="0"/>
                <w:iCs w:val="0"/>
                <w:snapToGrid w:val="0"/>
                <w:color w:val="auto"/>
                <w:kern w:val="0"/>
                <w:sz w:val="18"/>
                <w:szCs w:val="18"/>
                <w:u w:val="none"/>
                <w:lang w:val="en-US" w:eastAsia="zh-CN" w:bidi="ar"/>
              </w:rPr>
            </w:pPr>
            <w:r>
              <w:rPr>
                <w:rFonts w:hint="default" w:ascii="宋体" w:hAnsi="宋体" w:eastAsia="宋体" w:cs="宋体"/>
                <w:i w:val="0"/>
                <w:iCs w:val="0"/>
                <w:snapToGrid w:val="0"/>
                <w:color w:val="auto"/>
                <w:kern w:val="0"/>
                <w:position w:val="-24"/>
                <w:sz w:val="18"/>
                <w:szCs w:val="18"/>
                <w:u w:val="none"/>
                <w:lang w:val="en-US" w:eastAsia="zh-CN" w:bidi="ar"/>
              </w:rPr>
              <w:object>
                <v:shape id="_x0000_i1025" o:spt="75" type="#_x0000_t75" style="height:31pt;width:27pt;" o:ole="t" filled="f" o:preferrelative="t" stroked="f" coordsize="21600,21600">
                  <v:path/>
                  <v:fill on="f" focussize="0,0"/>
                  <v:stroke on="f"/>
                  <v:imagedata r:id="rId17" o:title=""/>
                  <o:lock v:ext="edit" aspectratio="t"/>
                  <w10:wrap type="none"/>
                  <w10:anchorlock/>
                </v:shape>
                <o:OLEObject Type="Embed" ProgID="Equation.KSEE3" ShapeID="_x0000_i1025" DrawAspect="Content" ObjectID="_1468075725" r:id="rId16">
                  <o:LockedField>false</o:LockedField>
                </o:OLEObject>
              </w:object>
            </w:r>
          </w:p>
        </w:tc>
      </w:tr>
      <w:tr w14:paraId="753A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C9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16&lt;S≤35</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018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16</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01E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position w:val="-24"/>
                <w:sz w:val="18"/>
                <w:szCs w:val="18"/>
                <w:u w:val="none"/>
                <w:lang w:val="en-US" w:eastAsia="zh-CN" w:bidi="ar"/>
              </w:rPr>
              <w:object>
                <v:shape id="_x0000_i1026" o:spt="75" type="#_x0000_t75" style="height:31pt;width:33pt;" o:ole="t" filled="f" o:preferrelative="t" stroked="f" coordsize="21600,21600">
                  <v:path/>
                  <v:fill on="f" focussize="0,0"/>
                  <v:stroke on="f"/>
                  <v:imagedata r:id="rId19" o:title=""/>
                  <o:lock v:ext="edit" aspectratio="t"/>
                  <w10:wrap type="none"/>
                  <w10:anchorlock/>
                </v:shape>
                <o:OLEObject Type="Embed" ProgID="Equation.KSEE3" ShapeID="_x0000_i1026" DrawAspect="Content" ObjectID="_1468075726" r:id="rId18">
                  <o:LockedField>false</o:LockedField>
                </o:OLEObject>
              </w:object>
            </w:r>
          </w:p>
        </w:tc>
      </w:tr>
      <w:tr w14:paraId="466E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44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S&gt;35</w:t>
            </w:r>
          </w:p>
        </w:tc>
        <w:tc>
          <w:tcPr>
            <w:tcW w:w="1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7EB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S/2</w:t>
            </w:r>
          </w:p>
        </w:tc>
        <w:tc>
          <w:tcPr>
            <w:tcW w:w="1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D7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position w:val="-24"/>
                <w:sz w:val="18"/>
                <w:szCs w:val="18"/>
                <w:u w:val="none"/>
                <w:lang w:val="en-US" w:eastAsia="zh-CN" w:bidi="ar"/>
              </w:rPr>
              <w:object>
                <v:shape id="_x0000_i1027" o:spt="75" type="#_x0000_t75" style="height:31pt;width:29pt;" o:ole="t" filled="f" o:preferrelative="t" stroked="f" coordsize="21600,21600">
                  <v:path/>
                  <v:fill on="f" focussize="0,0"/>
                  <v:stroke on="f"/>
                  <v:imagedata r:id="rId21" o:title=""/>
                  <o:lock v:ext="edit" aspectratio="t"/>
                  <w10:wrap type="none"/>
                  <w10:anchorlock/>
                </v:shape>
                <o:OLEObject Type="Embed" ProgID="Equation.KSEE3" ShapeID="_x0000_i1027" DrawAspect="Content" ObjectID="_1468075727" r:id="rId20">
                  <o:LockedField>false</o:LockedField>
                </o:OLEObject>
              </w:object>
            </w:r>
          </w:p>
        </w:tc>
      </w:tr>
      <w:tr w14:paraId="4D9D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5B9388">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黑体" w:hAnsi="黑体" w:eastAsia="黑体" w:cs="黑体"/>
                <w:i w:val="0"/>
                <w:iCs w:val="0"/>
                <w:snapToGrid w:val="0"/>
                <w:color w:val="auto"/>
                <w:kern w:val="0"/>
                <w:sz w:val="18"/>
                <w:szCs w:val="18"/>
                <w:u w:val="none"/>
                <w:lang w:val="en-US" w:eastAsia="zh-CN" w:bidi="ar"/>
              </w:rPr>
              <w:t>注：</w:t>
            </w:r>
            <w:r>
              <w:rPr>
                <w:rFonts w:hint="eastAsia" w:ascii="宋体" w:hAnsi="宋体" w:eastAsia="宋体" w:cs="宋体"/>
                <w:i w:val="0"/>
                <w:iCs w:val="0"/>
                <w:snapToGrid w:val="0"/>
                <w:color w:val="auto"/>
                <w:kern w:val="0"/>
                <w:sz w:val="18"/>
                <w:szCs w:val="18"/>
                <w:u w:val="none"/>
                <w:lang w:val="en-US" w:eastAsia="zh-CN" w:bidi="ar"/>
              </w:rPr>
              <w:t>S——相导体截面积</w:t>
            </w:r>
          </w:p>
          <w:p w14:paraId="724BE7C3">
            <w:pPr>
              <w:keepNext w:val="0"/>
              <w:keepLines w:val="0"/>
              <w:pageBreakBefore w:val="0"/>
              <w:widowControl/>
              <w:suppressLineNumbers w:val="0"/>
              <w:kinsoku/>
              <w:wordWrap/>
              <w:overflowPunct/>
              <w:topLinePunct w:val="0"/>
              <w:autoSpaceDE/>
              <w:autoSpaceDN/>
              <w:bidi w:val="0"/>
              <w:adjustRightInd/>
              <w:snapToGrid/>
              <w:ind w:firstLine="720" w:firstLineChars="400"/>
              <w:jc w:val="left"/>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k1——相导体系数</w:t>
            </w:r>
          </w:p>
          <w:p w14:paraId="458CCA5F">
            <w:pPr>
              <w:keepNext w:val="0"/>
              <w:keepLines w:val="0"/>
              <w:pageBreakBefore w:val="0"/>
              <w:widowControl/>
              <w:suppressLineNumbers w:val="0"/>
              <w:kinsoku/>
              <w:wordWrap/>
              <w:overflowPunct/>
              <w:topLinePunct w:val="0"/>
              <w:autoSpaceDE/>
              <w:autoSpaceDN/>
              <w:bidi w:val="0"/>
              <w:adjustRightInd/>
              <w:snapToGrid/>
              <w:ind w:firstLine="720" w:firstLineChars="40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18"/>
                <w:szCs w:val="18"/>
                <w:u w:val="none"/>
                <w:lang w:val="en-US" w:eastAsia="zh-CN" w:bidi="ar"/>
              </w:rPr>
              <w:t>k2——保护导体系数</w:t>
            </w:r>
          </w:p>
        </w:tc>
      </w:tr>
    </w:tbl>
    <w:p w14:paraId="61BA367A">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6.7.1.1.9</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电气装置的下列金属部分，均必须接地</w:t>
      </w:r>
      <w:r>
        <w:rPr>
          <w:rFonts w:hint="eastAsia" w:ascii="宋体" w:hAnsi="宋体" w:cs="宋体"/>
          <w:color w:val="auto"/>
          <w:kern w:val="0"/>
          <w:sz w:val="21"/>
          <w:szCs w:val="21"/>
          <w:lang w:val="en-US" w:eastAsia="zh-CN" w:bidi="ar"/>
        </w:rPr>
        <w:t>：</w:t>
      </w:r>
    </w:p>
    <w:p w14:paraId="1EDB01F1">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a)</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电气设备的金属底座、框架及外壳和传动装置</w:t>
      </w:r>
      <w:r>
        <w:rPr>
          <w:rFonts w:hint="eastAsia" w:ascii="宋体" w:hAnsi="宋体" w:cs="宋体"/>
          <w:color w:val="auto"/>
          <w:kern w:val="0"/>
          <w:sz w:val="21"/>
          <w:szCs w:val="21"/>
          <w:lang w:val="en-US" w:eastAsia="zh-CN" w:bidi="ar"/>
        </w:rPr>
        <w:t>；</w:t>
      </w:r>
    </w:p>
    <w:p w14:paraId="093E2C6A">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携带式或移动式用电器具的金属底座和外壳</w:t>
      </w:r>
      <w:r>
        <w:rPr>
          <w:rFonts w:hint="eastAsia" w:ascii="宋体" w:hAnsi="宋体" w:cs="宋体"/>
          <w:color w:val="auto"/>
          <w:kern w:val="0"/>
          <w:sz w:val="21"/>
          <w:szCs w:val="21"/>
          <w:lang w:val="en-US" w:eastAsia="zh-CN" w:bidi="ar"/>
        </w:rPr>
        <w:t>；</w:t>
      </w:r>
    </w:p>
    <w:p w14:paraId="3A1F10DF">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color w:val="auto"/>
          <w:kern w:val="0"/>
          <w:sz w:val="21"/>
          <w:szCs w:val="21"/>
          <w:lang w:val="en-US" w:eastAsia="zh-CN" w:bidi="ar"/>
        </w:rPr>
        <w:t xml:space="preserve"> </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互感器的二次绕组</w:t>
      </w:r>
      <w:r>
        <w:rPr>
          <w:rFonts w:hint="eastAsia" w:ascii="宋体" w:hAnsi="宋体" w:cs="宋体"/>
          <w:color w:val="auto"/>
          <w:kern w:val="0"/>
          <w:sz w:val="21"/>
          <w:szCs w:val="21"/>
          <w:lang w:val="en-US" w:eastAsia="zh-CN" w:bidi="ar"/>
        </w:rPr>
        <w:t>；</w:t>
      </w:r>
    </w:p>
    <w:p w14:paraId="54E60F72">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d)</w:t>
      </w:r>
      <w:r>
        <w:rPr>
          <w:rFonts w:hint="eastAsia" w:ascii="宋体" w:hAnsi="宋体" w:eastAsia="宋体" w:cs="宋体"/>
          <w:color w:val="auto"/>
          <w:kern w:val="0"/>
          <w:sz w:val="21"/>
          <w:szCs w:val="21"/>
          <w:lang w:val="en-US" w:eastAsia="zh-CN" w:bidi="ar"/>
        </w:rPr>
        <w:t xml:space="preserve"> </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配电、控制、保护用的屏</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柜、箱</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及操作台的金属框架和底座</w:t>
      </w:r>
      <w:r>
        <w:rPr>
          <w:rFonts w:hint="eastAsia" w:ascii="宋体" w:hAnsi="宋体" w:cs="宋体"/>
          <w:color w:val="auto"/>
          <w:kern w:val="0"/>
          <w:sz w:val="21"/>
          <w:szCs w:val="21"/>
          <w:lang w:val="en-US" w:eastAsia="zh-CN" w:bidi="ar"/>
        </w:rPr>
        <w:t>；</w:t>
      </w:r>
    </w:p>
    <w:p w14:paraId="64A7A42E">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e)</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电力电缆的金属护层、接头盒、终端头和金属保</w:t>
      </w:r>
      <w:r>
        <w:rPr>
          <w:rFonts w:hint="eastAsia" w:ascii="宋体" w:hAnsi="宋体" w:cs="宋体"/>
          <w:color w:val="auto"/>
          <w:kern w:val="0"/>
          <w:sz w:val="21"/>
          <w:szCs w:val="21"/>
          <w:lang w:val="en-US" w:eastAsia="zh-CN" w:bidi="ar"/>
        </w:rPr>
        <w:t>护</w:t>
      </w:r>
      <w:r>
        <w:rPr>
          <w:rFonts w:hint="eastAsia" w:ascii="宋体" w:hAnsi="宋体" w:eastAsia="宋体" w:cs="宋体"/>
          <w:color w:val="auto"/>
          <w:kern w:val="0"/>
          <w:sz w:val="21"/>
          <w:szCs w:val="21"/>
          <w:lang w:val="en-US" w:eastAsia="zh-CN" w:bidi="ar"/>
        </w:rPr>
        <w:t>管及二次电缆的屏蔽层</w:t>
      </w:r>
      <w:r>
        <w:rPr>
          <w:rFonts w:hint="eastAsia" w:ascii="宋体" w:hAnsi="宋体" w:cs="宋体"/>
          <w:color w:val="auto"/>
          <w:kern w:val="0"/>
          <w:sz w:val="21"/>
          <w:szCs w:val="21"/>
          <w:lang w:val="en-US" w:eastAsia="zh-CN" w:bidi="ar"/>
        </w:rPr>
        <w:t>；</w:t>
      </w:r>
    </w:p>
    <w:p w14:paraId="437F1248">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f)</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电缆桥架、支架和井架</w:t>
      </w:r>
      <w:r>
        <w:rPr>
          <w:rFonts w:hint="eastAsia" w:ascii="宋体" w:hAnsi="宋体" w:cs="宋体"/>
          <w:color w:val="auto"/>
          <w:kern w:val="0"/>
          <w:sz w:val="21"/>
          <w:szCs w:val="21"/>
          <w:lang w:val="en-US" w:eastAsia="zh-CN" w:bidi="ar"/>
        </w:rPr>
        <w:t>；</w:t>
      </w:r>
    </w:p>
    <w:p w14:paraId="5F7D19FE">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kern w:val="0"/>
          <w:sz w:val="21"/>
          <w:szCs w:val="21"/>
          <w:lang w:val="en-US" w:eastAsia="zh-CN" w:bidi="ar"/>
        </w:rPr>
      </w:pPr>
      <w:r>
        <w:rPr>
          <w:rFonts w:hint="eastAsia" w:ascii="宋体" w:hAnsi="宋体" w:cs="宋体"/>
          <w:snapToGrid w:val="0"/>
          <w:color w:val="auto"/>
          <w:kern w:val="0"/>
          <w:sz w:val="21"/>
          <w:szCs w:val="21"/>
          <w:lang w:val="en-US" w:eastAsia="zh-CN" w:bidi="ar"/>
        </w:rPr>
        <w:t>g)</w:t>
      </w:r>
      <w:r>
        <w:rPr>
          <w:rFonts w:hint="eastAsia" w:ascii="宋体" w:hAnsi="宋体" w:eastAsia="宋体" w:cs="宋体"/>
          <w:color w:val="auto"/>
          <w:kern w:val="0"/>
          <w:sz w:val="21"/>
          <w:szCs w:val="21"/>
          <w:lang w:val="en-US" w:eastAsia="zh-CN" w:bidi="ar"/>
        </w:rPr>
        <w:t xml:space="preserve"> </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电热设备的金属外壳</w:t>
      </w:r>
      <w:r>
        <w:rPr>
          <w:rFonts w:hint="eastAsia" w:ascii="宋体" w:hAnsi="宋体" w:cs="宋体"/>
          <w:color w:val="auto"/>
          <w:kern w:val="0"/>
          <w:sz w:val="21"/>
          <w:szCs w:val="21"/>
          <w:lang w:val="en-US" w:eastAsia="zh-CN" w:bidi="ar"/>
        </w:rPr>
        <w:t>。</w:t>
      </w:r>
    </w:p>
    <w:p w14:paraId="68909BC7">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6.7.1.1.10</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铝导体不应作为埋设于土壤中的接地极和接地连接导体。</w:t>
      </w:r>
    </w:p>
    <w:p w14:paraId="7ED8CA3D">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157" w:beforeLines="50" w:after="157" w:afterLines="50" w:line="240" w:lineRule="auto"/>
        <w:ind w:left="0"/>
        <w:textAlignment w:val="baseline"/>
        <w:outlineLvl w:val="9"/>
        <w:rPr>
          <w:rFonts w:hint="eastAsia" w:ascii="黑体" w:hAnsi="黑体" w:eastAsia="黑体" w:cs="黑体"/>
          <w:snapToGrid w:val="0"/>
          <w:color w:val="auto"/>
          <w:spacing w:val="8"/>
          <w:kern w:val="0"/>
          <w:sz w:val="21"/>
          <w:szCs w:val="21"/>
          <w:lang w:val="en-US" w:eastAsia="zh-CN"/>
        </w:rPr>
      </w:pPr>
      <w:r>
        <w:rPr>
          <w:rFonts w:hint="eastAsia" w:ascii="黑体" w:hAnsi="黑体" w:eastAsia="黑体" w:cs="黑体"/>
          <w:snapToGrid w:val="0"/>
          <w:color w:val="auto"/>
          <w:kern w:val="0"/>
          <w:sz w:val="21"/>
          <w:szCs w:val="21"/>
          <w:lang w:val="en-US" w:eastAsia="zh-CN" w:bidi="ar"/>
        </w:rPr>
        <w:t>6.7.1.2</w:t>
      </w:r>
      <w:r>
        <w:rPr>
          <w:rFonts w:hint="eastAsia" w:ascii="黑体" w:hAnsi="黑体" w:eastAsia="黑体" w:cs="黑体"/>
          <w:color w:val="auto"/>
          <w:spacing w:val="11"/>
          <w:sz w:val="21"/>
          <w:szCs w:val="21"/>
          <w:lang w:val="en-US" w:eastAsia="zh-CN"/>
        </w:rPr>
        <w:t xml:space="preserve"> </w:t>
      </w:r>
      <w:r>
        <w:rPr>
          <w:rFonts w:hint="eastAsia" w:ascii="黑体" w:hAnsi="黑体" w:eastAsia="黑体" w:cs="黑体"/>
          <w:snapToGrid w:val="0"/>
          <w:color w:val="auto"/>
          <w:spacing w:val="8"/>
          <w:kern w:val="0"/>
          <w:sz w:val="21"/>
          <w:szCs w:val="21"/>
          <w:lang w:val="en-US" w:eastAsia="zh-CN"/>
        </w:rPr>
        <w:t>仪器检测</w:t>
      </w:r>
    </w:p>
    <w:p w14:paraId="6936B672">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r>
        <w:rPr>
          <w:rFonts w:hint="eastAsia" w:ascii="黑体" w:hAnsi="黑体" w:eastAsia="黑体" w:cs="黑体"/>
          <w:snapToGrid w:val="0"/>
          <w:color w:val="auto"/>
          <w:kern w:val="0"/>
          <w:sz w:val="21"/>
          <w:szCs w:val="21"/>
          <w:lang w:val="en-US" w:eastAsia="zh-CN" w:bidi="ar"/>
        </w:rPr>
        <w:t>6.7.1.2.1</w:t>
      </w:r>
      <w:r>
        <w:rPr>
          <w:rFonts w:ascii="黑体" w:hAnsi="宋体" w:eastAsia="黑体" w:cs="黑体"/>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10kV中性点不接地系统的独立变电所，其外露导电部分的保护接地和变压器低压侧中性点 </w:t>
      </w:r>
    </w:p>
    <w:p w14:paraId="73764054">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r>
        <w:rPr>
          <w:rFonts w:hint="eastAsia" w:ascii="宋体" w:hAnsi="宋体" w:eastAsia="宋体" w:cs="宋体"/>
          <w:color w:val="auto"/>
          <w:kern w:val="0"/>
          <w:sz w:val="21"/>
          <w:szCs w:val="21"/>
          <w:lang w:val="en-US" w:eastAsia="zh-CN" w:bidi="ar"/>
        </w:rPr>
        <w:t>的系统接地可共用一组接地装置，其接地电阻阻值不应大于4Ω，在可能的条件下应采取措施减少至2</w:t>
      </w:r>
      <w:r>
        <w:rPr>
          <w:rFonts w:hint="default" w:ascii="宋体" w:hAnsi="宋体" w:eastAsia="宋体" w:cs="宋体"/>
          <w:color w:val="auto"/>
          <w:kern w:val="0"/>
          <w:sz w:val="21"/>
          <w:szCs w:val="21"/>
          <w:lang w:val="en-US" w:eastAsia="zh-CN" w:bidi="ar"/>
        </w:rPr>
        <w:t>Ω</w:t>
      </w:r>
      <w:r>
        <w:rPr>
          <w:rFonts w:hint="eastAsia" w:ascii="宋体" w:hAnsi="宋体" w:eastAsia="宋体" w:cs="宋体"/>
          <w:color w:val="auto"/>
          <w:kern w:val="0"/>
          <w:sz w:val="21"/>
          <w:szCs w:val="21"/>
          <w:lang w:val="en-US" w:eastAsia="zh-CN" w:bidi="ar"/>
        </w:rPr>
        <w:t xml:space="preserve">以下。 </w:t>
      </w:r>
    </w:p>
    <w:p w14:paraId="6B7A4CA2">
      <w:pPr>
        <w:keepNext w:val="0"/>
        <w:keepLines w:val="0"/>
        <w:widowControl/>
        <w:suppressLineNumbers w:val="0"/>
        <w:jc w:val="left"/>
        <w:rPr>
          <w:color w:val="auto"/>
        </w:rPr>
      </w:pPr>
      <w:r>
        <w:rPr>
          <w:rFonts w:hint="eastAsia" w:ascii="黑体" w:hAnsi="黑体" w:eastAsia="黑体" w:cs="黑体"/>
          <w:snapToGrid w:val="0"/>
          <w:color w:val="auto"/>
          <w:kern w:val="0"/>
          <w:sz w:val="21"/>
          <w:szCs w:val="21"/>
          <w:lang w:val="en-US" w:eastAsia="zh-CN" w:bidi="ar"/>
        </w:rPr>
        <w:t>6.7.1.2.2</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10kV中性点经小电阻接地系统的独立变电所，应满足下列条件之一</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 </w:t>
      </w:r>
    </w:p>
    <w:p w14:paraId="121568D3">
      <w:pPr>
        <w:keepNext w:val="0"/>
        <w:keepLines w:val="0"/>
        <w:pageBreakBefore w:val="0"/>
        <w:widowControl/>
        <w:suppressLineNumbers w:val="0"/>
        <w:kinsoku/>
        <w:wordWrap/>
        <w:overflowPunct/>
        <w:topLinePunct w:val="0"/>
        <w:autoSpaceDE/>
        <w:autoSpaceDN/>
        <w:bidi w:val="0"/>
        <w:adjustRightInd/>
        <w:snapToGrid/>
        <w:ind w:left="840" w:leftChars="200" w:hanging="420" w:hangingChars="200"/>
        <w:jc w:val="left"/>
        <w:textAlignment w:val="auto"/>
        <w:rPr>
          <w:color w:val="auto"/>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color w:val="auto"/>
          <w:kern w:val="0"/>
          <w:sz w:val="21"/>
          <w:szCs w:val="21"/>
          <w:lang w:val="en-US" w:eastAsia="zh-CN" w:bidi="ar"/>
        </w:rPr>
        <w:t xml:space="preserve"> </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变压器低压侧中性点的系统接地应用单芯铜质绝缘电缆引至户外单设一组接地装置，与保护接地装置的距离不应小于10m</w:t>
      </w:r>
      <w:r>
        <w:rPr>
          <w:rFonts w:hint="eastAsia" w:ascii="宋体" w:hAnsi="宋体" w:cs="宋体"/>
          <w:color w:val="auto"/>
          <w:kern w:val="0"/>
          <w:sz w:val="21"/>
          <w:szCs w:val="21"/>
          <w:lang w:val="en-US" w:eastAsia="zh-CN" w:bidi="ar"/>
        </w:rPr>
        <w:t>；</w:t>
      </w:r>
    </w:p>
    <w:p w14:paraId="741D8175">
      <w:pPr>
        <w:keepNext w:val="0"/>
        <w:keepLines w:val="0"/>
        <w:pageBreakBefore w:val="0"/>
        <w:widowControl/>
        <w:suppressLineNumbers w:val="0"/>
        <w:kinsoku/>
        <w:wordWrap/>
        <w:overflowPunct/>
        <w:topLinePunct w:val="0"/>
        <w:autoSpaceDE/>
        <w:autoSpaceDN/>
        <w:bidi w:val="0"/>
        <w:adjustRightInd/>
        <w:snapToGrid/>
        <w:ind w:left="840" w:leftChars="200" w:hanging="420" w:hangingChars="200"/>
        <w:jc w:val="left"/>
        <w:textAlignment w:val="auto"/>
        <w:rPr>
          <w:color w:val="auto"/>
        </w:rPr>
      </w:pPr>
      <w:r>
        <w:rPr>
          <w:rFonts w:hint="eastAsia" w:ascii="宋体" w:hAnsi="宋体" w:cs="宋体"/>
          <w:snapToGrid w:val="0"/>
          <w:color w:val="auto"/>
          <w:kern w:val="0"/>
          <w:sz w:val="21"/>
          <w:szCs w:val="21"/>
          <w:lang w:val="en-US" w:eastAsia="zh-CN" w:bidi="ar"/>
        </w:rPr>
        <w:t>b)</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变压器低压侧中性点的系统接地不单设接地装置，但共用接地装置的接地电阻阻值不应大于1</w:t>
      </w:r>
      <w:r>
        <w:rPr>
          <w:rFonts w:hint="default" w:ascii="宋体" w:hAnsi="宋体" w:eastAsia="宋体" w:cs="宋体"/>
          <w:color w:val="auto"/>
          <w:kern w:val="0"/>
          <w:sz w:val="21"/>
          <w:szCs w:val="21"/>
          <w:lang w:val="en-US" w:eastAsia="zh-CN" w:bidi="ar"/>
        </w:rPr>
        <w:t>Ω</w:t>
      </w:r>
      <w:r>
        <w:rPr>
          <w:rFonts w:hint="eastAsia" w:ascii="宋体" w:hAnsi="宋体" w:eastAsia="宋体" w:cs="宋体"/>
          <w:color w:val="auto"/>
          <w:kern w:val="0"/>
          <w:sz w:val="21"/>
          <w:szCs w:val="21"/>
          <w:lang w:val="en-US" w:eastAsia="zh-CN" w:bidi="ar"/>
        </w:rPr>
        <w:t xml:space="preserve">。 </w:t>
      </w:r>
    </w:p>
    <w:p w14:paraId="2E05CF53">
      <w:pPr>
        <w:keepNext w:val="0"/>
        <w:keepLines w:val="0"/>
        <w:widowControl/>
        <w:suppressLineNumbers w:val="0"/>
        <w:jc w:val="left"/>
        <w:rPr>
          <w:color w:val="auto"/>
        </w:rPr>
      </w:pPr>
      <w:r>
        <w:rPr>
          <w:rFonts w:hint="eastAsia" w:ascii="黑体" w:hAnsi="黑体" w:eastAsia="黑体" w:cs="黑体"/>
          <w:snapToGrid w:val="0"/>
          <w:color w:val="auto"/>
          <w:kern w:val="0"/>
          <w:sz w:val="21"/>
          <w:szCs w:val="21"/>
          <w:lang w:val="en-US" w:eastAsia="zh-CN" w:bidi="ar"/>
        </w:rPr>
        <w:t xml:space="preserve">6.7.1.2.3  </w:t>
      </w:r>
      <w:r>
        <w:rPr>
          <w:rFonts w:hint="eastAsia" w:ascii="宋体" w:hAnsi="宋体" w:eastAsia="宋体" w:cs="宋体"/>
          <w:color w:val="auto"/>
          <w:kern w:val="0"/>
          <w:sz w:val="21"/>
          <w:szCs w:val="21"/>
          <w:lang w:val="en-US" w:eastAsia="zh-CN" w:bidi="ar"/>
        </w:rPr>
        <w:t xml:space="preserve">10kV变电所建在建筑物内时，其保护接地和变压器低压侧系统接地应共用一组接地装置， </w:t>
      </w:r>
    </w:p>
    <w:p w14:paraId="24120B1F">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并纳入建筑物的总等电位联结的范围内，其接地电阻应符合下列要求</w:t>
      </w:r>
      <w:r>
        <w:rPr>
          <w:rFonts w:hint="eastAsia" w:ascii="宋体" w:hAnsi="宋体" w:cs="宋体"/>
          <w:color w:val="auto"/>
          <w:kern w:val="0"/>
          <w:sz w:val="21"/>
          <w:szCs w:val="21"/>
          <w:lang w:val="en-US" w:eastAsia="zh-CN" w:bidi="ar"/>
        </w:rPr>
        <w:t>：</w:t>
      </w:r>
    </w:p>
    <w:p w14:paraId="0E24E892">
      <w:pPr>
        <w:keepNext w:val="0"/>
        <w:keepLines w:val="0"/>
        <w:widowControl/>
        <w:suppressLineNumbers w:val="0"/>
        <w:ind w:firstLine="420" w:firstLineChars="200"/>
        <w:jc w:val="left"/>
        <w:rPr>
          <w:color w:val="auto"/>
        </w:rPr>
      </w:pPr>
      <w:r>
        <w:rPr>
          <w:rFonts w:hint="eastAsia" w:ascii="宋体" w:hAnsi="宋体" w:cs="宋体"/>
          <w:snapToGrid w:val="0"/>
          <w:color w:val="auto"/>
          <w:kern w:val="0"/>
          <w:sz w:val="21"/>
          <w:szCs w:val="21"/>
          <w:lang w:val="en-US" w:eastAsia="zh-CN" w:bidi="ar"/>
        </w:rPr>
        <w:t>a)</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当变电所无向所外建筑物引出低压供电回路时，对接地电阻无要求</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 </w:t>
      </w:r>
    </w:p>
    <w:p w14:paraId="15A60536">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color w:val="auto"/>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color w:val="auto"/>
          <w:kern w:val="0"/>
          <w:sz w:val="19"/>
          <w:szCs w:val="19"/>
          <w:lang w:val="en-US" w:eastAsia="zh-CN" w:bidi="ar"/>
        </w:rPr>
        <w:t xml:space="preserve"> </w:t>
      </w:r>
      <w:r>
        <w:rPr>
          <w:rFonts w:hint="eastAsia" w:ascii="宋体" w:hAnsi="宋体" w:cs="宋体"/>
          <w:color w:val="auto"/>
          <w:kern w:val="0"/>
          <w:sz w:val="19"/>
          <w:szCs w:val="19"/>
          <w:lang w:val="en-US" w:eastAsia="zh-CN" w:bidi="ar"/>
        </w:rPr>
        <w:t xml:space="preserve"> </w:t>
      </w:r>
      <w:r>
        <w:rPr>
          <w:rFonts w:hint="eastAsia" w:ascii="宋体" w:hAnsi="宋体" w:eastAsia="宋体" w:cs="宋体"/>
          <w:color w:val="auto"/>
          <w:kern w:val="0"/>
          <w:sz w:val="21"/>
          <w:szCs w:val="21"/>
          <w:lang w:val="en-US" w:eastAsia="zh-CN" w:bidi="ar"/>
        </w:rPr>
        <w:t>当变电所有向所外建筑物引出低压供电回路时，其接地电阻阻值应符合</w:t>
      </w: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 xml:space="preserve">.7.1.2.1或 </w:t>
      </w:r>
    </w:p>
    <w:p w14:paraId="7BE8296E">
      <w:pPr>
        <w:keepNext w:val="0"/>
        <w:keepLines w:val="0"/>
        <w:pageBreakBefore w:val="0"/>
        <w:widowControl/>
        <w:suppressLineNumbers w:val="0"/>
        <w:kinsoku/>
        <w:wordWrap/>
        <w:overflowPunct/>
        <w:topLinePunct w:val="0"/>
        <w:autoSpaceDE/>
        <w:autoSpaceDN/>
        <w:bidi w:val="0"/>
        <w:adjustRightInd/>
        <w:snapToGrid/>
        <w:ind w:firstLine="840" w:firstLineChars="400"/>
        <w:jc w:val="left"/>
        <w:textAlignment w:val="auto"/>
        <w:rPr>
          <w:color w:val="auto"/>
        </w:rPr>
      </w:pP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 xml:space="preserve">.7.1.2.2 b)的要求。 </w:t>
      </w:r>
    </w:p>
    <w:p w14:paraId="50D8B4FA">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r>
        <w:rPr>
          <w:rFonts w:hint="eastAsia" w:ascii="黑体" w:hAnsi="黑体" w:eastAsia="黑体" w:cs="黑体"/>
          <w:snapToGrid w:val="0"/>
          <w:color w:val="auto"/>
          <w:kern w:val="0"/>
          <w:sz w:val="21"/>
          <w:szCs w:val="21"/>
          <w:lang w:val="en-US" w:eastAsia="zh-CN" w:bidi="ar"/>
        </w:rPr>
        <w:t>6.7.1.2.4</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低压供电系统无总等电位联结的建筑物内的TN保护接地系统的PE线或PEN线应作重复接地，其接地电阻阻值不应大于10</w:t>
      </w:r>
      <w:r>
        <w:rPr>
          <w:rFonts w:hint="default" w:ascii="宋体" w:hAnsi="宋体" w:eastAsia="宋体" w:cs="宋体"/>
          <w:color w:val="auto"/>
          <w:kern w:val="0"/>
          <w:sz w:val="21"/>
          <w:szCs w:val="21"/>
          <w:lang w:val="en-US" w:eastAsia="zh-CN" w:bidi="ar"/>
        </w:rPr>
        <w:t>Ω</w:t>
      </w:r>
      <w:r>
        <w:rPr>
          <w:rFonts w:hint="eastAsia" w:ascii="宋体" w:hAnsi="宋体" w:eastAsia="宋体" w:cs="宋体"/>
          <w:color w:val="auto"/>
          <w:kern w:val="0"/>
          <w:sz w:val="21"/>
          <w:szCs w:val="21"/>
          <w:lang w:val="en-US" w:eastAsia="zh-CN" w:bidi="ar"/>
        </w:rPr>
        <w:t xml:space="preserve">。 </w:t>
      </w:r>
    </w:p>
    <w:p w14:paraId="773FD7B1">
      <w:pPr>
        <w:keepNext w:val="0"/>
        <w:keepLines w:val="0"/>
        <w:widowControl/>
        <w:suppressLineNumbers w:val="0"/>
        <w:jc w:val="left"/>
        <w:rPr>
          <w:color w:val="auto"/>
        </w:rPr>
      </w:pPr>
      <w:r>
        <w:rPr>
          <w:rFonts w:hint="eastAsia" w:ascii="黑体" w:hAnsi="黑体" w:eastAsia="黑体" w:cs="黑体"/>
          <w:snapToGrid w:val="0"/>
          <w:color w:val="auto"/>
          <w:kern w:val="0"/>
          <w:sz w:val="21"/>
          <w:szCs w:val="21"/>
          <w:lang w:val="en-US" w:eastAsia="zh-CN" w:bidi="ar"/>
        </w:rPr>
        <w:t>6.7.1.2.5</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除上述特殊规定外，接地电阻应满足下述要求</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 </w:t>
      </w:r>
    </w:p>
    <w:p w14:paraId="23E8DF6B">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color w:val="auto"/>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color w:val="auto"/>
          <w:kern w:val="0"/>
          <w:sz w:val="19"/>
          <w:szCs w:val="19"/>
          <w:lang w:val="en-US" w:eastAsia="zh-CN" w:bidi="ar"/>
        </w:rPr>
        <w:t xml:space="preserve"> </w:t>
      </w:r>
      <w:r>
        <w:rPr>
          <w:rFonts w:hint="eastAsia" w:ascii="宋体" w:hAnsi="宋体" w:cs="宋体"/>
          <w:color w:val="auto"/>
          <w:kern w:val="0"/>
          <w:sz w:val="19"/>
          <w:szCs w:val="19"/>
          <w:lang w:val="en-US" w:eastAsia="zh-CN" w:bidi="ar"/>
        </w:rPr>
        <w:t xml:space="preserve"> </w:t>
      </w:r>
      <w:r>
        <w:rPr>
          <w:rFonts w:hint="eastAsia" w:ascii="宋体" w:hAnsi="宋体" w:eastAsia="宋体" w:cs="宋体"/>
          <w:color w:val="auto"/>
          <w:kern w:val="0"/>
          <w:sz w:val="21"/>
          <w:szCs w:val="21"/>
          <w:lang w:val="en-US" w:eastAsia="zh-CN" w:bidi="ar"/>
        </w:rPr>
        <w:t>独立的防雷保护接地电阻应不大于10</w:t>
      </w:r>
      <w:r>
        <w:rPr>
          <w:rFonts w:hint="default" w:ascii="宋体" w:hAnsi="宋体" w:eastAsia="宋体" w:cs="宋体"/>
          <w:color w:val="auto"/>
          <w:kern w:val="0"/>
          <w:sz w:val="21"/>
          <w:szCs w:val="21"/>
          <w:lang w:val="en-US" w:eastAsia="zh-CN" w:bidi="ar"/>
        </w:rPr>
        <w:t>Ω</w:t>
      </w:r>
      <w:r>
        <w:rPr>
          <w:rFonts w:hint="eastAsia" w:ascii="Arial" w:hAnsi="Arial" w:cs="Arial"/>
          <w:color w:val="auto"/>
          <w:kern w:val="0"/>
          <w:sz w:val="21"/>
          <w:szCs w:val="21"/>
          <w:lang w:val="en-US" w:eastAsia="zh-CN" w:bidi="ar"/>
        </w:rPr>
        <w:t>。</w:t>
      </w:r>
    </w:p>
    <w:p w14:paraId="156FD35B">
      <w:pPr>
        <w:keepNext w:val="0"/>
        <w:keepLines w:val="0"/>
        <w:widowControl/>
        <w:suppressLineNumbers w:val="0"/>
        <w:ind w:firstLine="420" w:firstLineChars="200"/>
        <w:jc w:val="left"/>
        <w:rPr>
          <w:color w:val="auto"/>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color w:val="auto"/>
          <w:kern w:val="0"/>
          <w:sz w:val="19"/>
          <w:szCs w:val="19"/>
          <w:lang w:val="en-US" w:eastAsia="zh-CN" w:bidi="ar"/>
        </w:rPr>
        <w:t xml:space="preserve"> </w:t>
      </w:r>
      <w:r>
        <w:rPr>
          <w:rFonts w:hint="eastAsia" w:ascii="宋体" w:hAnsi="宋体" w:cs="宋体"/>
          <w:color w:val="auto"/>
          <w:kern w:val="0"/>
          <w:sz w:val="19"/>
          <w:szCs w:val="19"/>
          <w:lang w:val="en-US" w:eastAsia="zh-CN" w:bidi="ar"/>
        </w:rPr>
        <w:t xml:space="preserve"> </w:t>
      </w:r>
      <w:r>
        <w:rPr>
          <w:rFonts w:hint="eastAsia" w:ascii="宋体" w:hAnsi="宋体" w:eastAsia="宋体" w:cs="宋体"/>
          <w:color w:val="auto"/>
          <w:kern w:val="0"/>
          <w:sz w:val="21"/>
          <w:szCs w:val="21"/>
          <w:lang w:val="en-US" w:eastAsia="zh-CN" w:bidi="ar"/>
        </w:rPr>
        <w:t>独立的安全保护接地电阻应不大于4Ω</w:t>
      </w:r>
      <w:r>
        <w:rPr>
          <w:rFonts w:hint="eastAsia" w:ascii="Arial" w:hAnsi="Arial" w:cs="Arial"/>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 </w:t>
      </w:r>
    </w:p>
    <w:p w14:paraId="5138FDFF">
      <w:pPr>
        <w:keepNext w:val="0"/>
        <w:keepLines w:val="0"/>
        <w:widowControl/>
        <w:suppressLineNumbers w:val="0"/>
        <w:ind w:firstLine="420" w:firstLineChars="200"/>
        <w:jc w:val="left"/>
        <w:rPr>
          <w:color w:val="auto"/>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color w:val="auto"/>
          <w:kern w:val="0"/>
          <w:sz w:val="19"/>
          <w:szCs w:val="19"/>
          <w:lang w:val="en-US" w:eastAsia="zh-CN" w:bidi="ar"/>
        </w:rPr>
        <w:t xml:space="preserve"> </w:t>
      </w:r>
      <w:r>
        <w:rPr>
          <w:rFonts w:hint="eastAsia" w:ascii="宋体" w:hAnsi="宋体" w:cs="宋体"/>
          <w:color w:val="auto"/>
          <w:kern w:val="0"/>
          <w:sz w:val="19"/>
          <w:szCs w:val="19"/>
          <w:lang w:val="en-US" w:eastAsia="zh-CN" w:bidi="ar"/>
        </w:rPr>
        <w:t xml:space="preserve"> </w:t>
      </w:r>
      <w:r>
        <w:rPr>
          <w:rFonts w:hint="eastAsia" w:ascii="宋体" w:hAnsi="宋体" w:eastAsia="宋体" w:cs="宋体"/>
          <w:color w:val="auto"/>
          <w:kern w:val="0"/>
          <w:sz w:val="21"/>
          <w:szCs w:val="21"/>
          <w:lang w:val="en-US" w:eastAsia="zh-CN" w:bidi="ar"/>
        </w:rPr>
        <w:t>独立的交流工作接地电阻应不大于4</w:t>
      </w:r>
      <w:r>
        <w:rPr>
          <w:rFonts w:hint="default" w:ascii="宋体" w:hAnsi="宋体" w:eastAsia="宋体" w:cs="宋体"/>
          <w:color w:val="auto"/>
          <w:kern w:val="0"/>
          <w:sz w:val="21"/>
          <w:szCs w:val="21"/>
          <w:lang w:val="en-US" w:eastAsia="zh-CN" w:bidi="ar"/>
        </w:rPr>
        <w:t>Ω</w:t>
      </w:r>
      <w:r>
        <w:rPr>
          <w:rFonts w:hint="eastAsia" w:ascii="Arial" w:hAnsi="Arial" w:cs="Arial"/>
          <w:color w:val="auto"/>
          <w:kern w:val="0"/>
          <w:sz w:val="21"/>
          <w:szCs w:val="21"/>
          <w:lang w:val="en-US" w:eastAsia="zh-CN" w:bidi="ar"/>
        </w:rPr>
        <w:t>。</w:t>
      </w:r>
    </w:p>
    <w:p w14:paraId="46EC07CD">
      <w:pPr>
        <w:keepNext w:val="0"/>
        <w:keepLines w:val="0"/>
        <w:widowControl/>
        <w:suppressLineNumbers w:val="0"/>
        <w:ind w:firstLine="420" w:firstLineChars="200"/>
        <w:jc w:val="left"/>
        <w:rPr>
          <w:color w:val="auto"/>
        </w:rPr>
      </w:pPr>
      <w:r>
        <w:rPr>
          <w:rFonts w:hint="eastAsia" w:ascii="宋体" w:hAnsi="宋体" w:cs="宋体"/>
          <w:snapToGrid w:val="0"/>
          <w:color w:val="auto"/>
          <w:kern w:val="0"/>
          <w:sz w:val="21"/>
          <w:szCs w:val="21"/>
          <w:lang w:val="en-US" w:eastAsia="zh-CN" w:bidi="ar"/>
        </w:rPr>
        <w:t>d)</w:t>
      </w:r>
      <w:r>
        <w:rPr>
          <w:rFonts w:hint="eastAsia" w:ascii="宋体" w:hAnsi="宋体" w:eastAsia="宋体" w:cs="宋体"/>
          <w:color w:val="auto"/>
          <w:kern w:val="0"/>
          <w:sz w:val="19"/>
          <w:szCs w:val="19"/>
          <w:lang w:val="en-US" w:eastAsia="zh-CN" w:bidi="ar"/>
        </w:rPr>
        <w:t xml:space="preserve"> </w:t>
      </w:r>
      <w:r>
        <w:rPr>
          <w:rFonts w:hint="eastAsia" w:ascii="宋体" w:hAnsi="宋体" w:cs="宋体"/>
          <w:color w:val="auto"/>
          <w:kern w:val="0"/>
          <w:sz w:val="19"/>
          <w:szCs w:val="19"/>
          <w:lang w:val="en-US" w:eastAsia="zh-CN" w:bidi="ar"/>
        </w:rPr>
        <w:t xml:space="preserve"> </w:t>
      </w:r>
      <w:r>
        <w:rPr>
          <w:rFonts w:hint="eastAsia" w:ascii="宋体" w:hAnsi="宋体" w:eastAsia="宋体" w:cs="宋体"/>
          <w:color w:val="auto"/>
          <w:kern w:val="0"/>
          <w:sz w:val="21"/>
          <w:szCs w:val="21"/>
          <w:lang w:val="en-US" w:eastAsia="zh-CN" w:bidi="ar"/>
        </w:rPr>
        <w:t>独立的直流工作接地电阻应不大于4</w:t>
      </w:r>
      <w:r>
        <w:rPr>
          <w:rFonts w:hint="default" w:ascii="宋体" w:hAnsi="宋体" w:eastAsia="宋体" w:cs="宋体"/>
          <w:color w:val="auto"/>
          <w:kern w:val="0"/>
          <w:sz w:val="21"/>
          <w:szCs w:val="21"/>
          <w:lang w:val="en-US" w:eastAsia="zh-CN" w:bidi="ar"/>
        </w:rPr>
        <w:t>Ω</w:t>
      </w:r>
      <w:r>
        <w:rPr>
          <w:rFonts w:hint="eastAsia" w:ascii="Arial" w:hAnsi="Arial" w:cs="Arial"/>
          <w:color w:val="auto"/>
          <w:kern w:val="0"/>
          <w:sz w:val="21"/>
          <w:szCs w:val="21"/>
          <w:lang w:val="en-US" w:eastAsia="zh-CN" w:bidi="ar"/>
        </w:rPr>
        <w:t>。</w:t>
      </w:r>
    </w:p>
    <w:p w14:paraId="2FF03646">
      <w:pPr>
        <w:keepNext w:val="0"/>
        <w:keepLines w:val="0"/>
        <w:widowControl/>
        <w:suppressLineNumbers w:val="0"/>
        <w:ind w:firstLine="420" w:firstLineChars="200"/>
        <w:jc w:val="left"/>
        <w:rPr>
          <w:rFonts w:hint="eastAsia" w:ascii="黑体" w:hAnsi="黑体" w:eastAsia="黑体" w:cs="黑体"/>
          <w:snapToGrid w:val="0"/>
          <w:color w:val="auto"/>
          <w:spacing w:val="8"/>
          <w:kern w:val="0"/>
          <w:sz w:val="21"/>
          <w:szCs w:val="21"/>
          <w:lang w:val="en-US" w:eastAsia="zh-CN"/>
        </w:rPr>
      </w:pPr>
      <w:r>
        <w:rPr>
          <w:rFonts w:hint="eastAsia" w:ascii="宋体" w:hAnsi="宋体" w:cs="宋体"/>
          <w:snapToGrid w:val="0"/>
          <w:color w:val="auto"/>
          <w:kern w:val="0"/>
          <w:sz w:val="21"/>
          <w:szCs w:val="21"/>
          <w:lang w:val="en-US" w:eastAsia="zh-CN" w:bidi="ar"/>
        </w:rPr>
        <w:t>e)</w:t>
      </w:r>
      <w:r>
        <w:rPr>
          <w:rFonts w:hint="eastAsia" w:ascii="宋体" w:hAnsi="宋体" w:eastAsia="宋体" w:cs="宋体"/>
          <w:color w:val="auto"/>
          <w:kern w:val="0"/>
          <w:sz w:val="19"/>
          <w:szCs w:val="19"/>
          <w:lang w:val="en-US" w:eastAsia="zh-CN" w:bidi="ar"/>
        </w:rPr>
        <w:t xml:space="preserve"> </w:t>
      </w:r>
      <w:r>
        <w:rPr>
          <w:rFonts w:hint="eastAsia" w:ascii="宋体" w:hAnsi="宋体" w:cs="宋体"/>
          <w:color w:val="auto"/>
          <w:kern w:val="0"/>
          <w:sz w:val="19"/>
          <w:szCs w:val="19"/>
          <w:lang w:val="en-US" w:eastAsia="zh-CN" w:bidi="ar"/>
        </w:rPr>
        <w:t xml:space="preserve"> </w:t>
      </w:r>
      <w:r>
        <w:rPr>
          <w:rFonts w:hint="eastAsia" w:ascii="宋体" w:hAnsi="宋体" w:eastAsia="宋体" w:cs="宋体"/>
          <w:color w:val="auto"/>
          <w:kern w:val="0"/>
          <w:sz w:val="21"/>
          <w:szCs w:val="21"/>
          <w:lang w:val="en-US" w:eastAsia="zh-CN" w:bidi="ar"/>
        </w:rPr>
        <w:t>防静电接地电阻一般要求不大于100</w:t>
      </w:r>
      <w:r>
        <w:rPr>
          <w:rFonts w:hint="default" w:ascii="宋体" w:hAnsi="宋体" w:eastAsia="宋体" w:cs="宋体"/>
          <w:color w:val="auto"/>
          <w:kern w:val="0"/>
          <w:sz w:val="21"/>
          <w:szCs w:val="21"/>
          <w:lang w:val="en-US" w:eastAsia="zh-CN" w:bidi="ar"/>
        </w:rPr>
        <w:t>Ω</w:t>
      </w:r>
      <w:r>
        <w:rPr>
          <w:rFonts w:hint="eastAsia" w:ascii="宋体" w:hAnsi="宋体" w:eastAsia="宋体" w:cs="宋体"/>
          <w:color w:val="auto"/>
          <w:kern w:val="0"/>
          <w:sz w:val="21"/>
          <w:szCs w:val="21"/>
          <w:lang w:val="en-US" w:eastAsia="zh-CN" w:bidi="ar"/>
        </w:rPr>
        <w:t>。</w:t>
      </w:r>
    </w:p>
    <w:p w14:paraId="32BBDD0B">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157" w:beforeLines="50" w:after="157" w:afterLines="50" w:line="240" w:lineRule="auto"/>
        <w:ind w:left="0"/>
        <w:textAlignment w:val="baseline"/>
        <w:outlineLvl w:val="3"/>
        <w:rPr>
          <w:rFonts w:hint="default" w:ascii="黑体" w:hAnsi="黑体" w:eastAsia="黑体" w:cs="黑体"/>
          <w:snapToGrid w:val="0"/>
          <w:color w:val="auto"/>
          <w:kern w:val="0"/>
          <w:sz w:val="21"/>
          <w:szCs w:val="21"/>
          <w:lang w:val="en-US" w:eastAsia="zh-CN" w:bidi="ar"/>
        </w:rPr>
      </w:pPr>
      <w:r>
        <w:rPr>
          <w:rFonts w:hint="eastAsia" w:ascii="黑体" w:hAnsi="黑体" w:eastAsia="黑体" w:cs="黑体"/>
          <w:snapToGrid w:val="0"/>
          <w:color w:val="auto"/>
          <w:kern w:val="0"/>
          <w:sz w:val="21"/>
          <w:szCs w:val="21"/>
          <w:lang w:val="en-US" w:eastAsia="zh-CN" w:bidi="ar"/>
        </w:rPr>
        <w:t xml:space="preserve">6.7.2  </w:t>
      </w:r>
      <w:r>
        <w:rPr>
          <w:rFonts w:hint="eastAsia" w:ascii="黑体" w:hAnsi="黑体" w:eastAsia="黑体" w:cs="黑体"/>
          <w:color w:val="auto"/>
          <w:spacing w:val="11"/>
          <w:sz w:val="21"/>
          <w:szCs w:val="21"/>
          <w:lang w:val="en-US" w:eastAsia="zh-CN"/>
        </w:rPr>
        <w:t>等电位联结要求</w:t>
      </w:r>
    </w:p>
    <w:p w14:paraId="513D057F">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after="157" w:afterLines="50" w:line="240" w:lineRule="auto"/>
        <w:jc w:val="left"/>
        <w:textAlignment w:val="baseline"/>
        <w:rPr>
          <w:rFonts w:hint="eastAsia" w:ascii="黑体" w:hAnsi="黑体" w:eastAsia="黑体" w:cs="黑体"/>
          <w:color w:val="auto"/>
          <w:spacing w:val="11"/>
          <w:sz w:val="21"/>
          <w:szCs w:val="21"/>
          <w:lang w:val="en-US" w:eastAsia="zh-CN"/>
        </w:rPr>
      </w:pPr>
      <w:r>
        <w:rPr>
          <w:rFonts w:hint="eastAsia" w:ascii="黑体" w:hAnsi="黑体" w:eastAsia="黑体" w:cs="黑体"/>
          <w:snapToGrid w:val="0"/>
          <w:color w:val="auto"/>
          <w:kern w:val="0"/>
          <w:sz w:val="21"/>
          <w:szCs w:val="21"/>
          <w:lang w:val="en-US" w:eastAsia="zh-CN" w:bidi="ar"/>
        </w:rPr>
        <w:t>6.7.2.1</w:t>
      </w:r>
      <w:r>
        <w:rPr>
          <w:rFonts w:hint="eastAsia" w:ascii="黑体" w:hAnsi="黑体" w:eastAsia="黑体" w:cs="黑体"/>
          <w:color w:val="auto"/>
          <w:spacing w:val="11"/>
          <w:sz w:val="21"/>
          <w:szCs w:val="21"/>
          <w:lang w:val="en-US" w:eastAsia="zh-CN"/>
        </w:rPr>
        <w:t xml:space="preserve"> 直观检查</w:t>
      </w:r>
    </w:p>
    <w:p w14:paraId="34C96490">
      <w:pPr>
        <w:keepNext w:val="0"/>
        <w:keepLines w:val="0"/>
        <w:widowControl/>
        <w:suppressLineNumbers w:val="0"/>
        <w:jc w:val="left"/>
        <w:rPr>
          <w:rFonts w:hint="default"/>
          <w:color w:val="auto"/>
          <w:lang w:val="en-US"/>
        </w:rPr>
      </w:pPr>
      <w:r>
        <w:rPr>
          <w:rFonts w:hint="eastAsia" w:ascii="黑体" w:hAnsi="黑体" w:eastAsia="黑体" w:cs="黑体"/>
          <w:snapToGrid w:val="0"/>
          <w:color w:val="auto"/>
          <w:kern w:val="0"/>
          <w:sz w:val="21"/>
          <w:szCs w:val="21"/>
          <w:lang w:val="en-US" w:eastAsia="zh-CN" w:bidi="ar"/>
        </w:rPr>
        <w:t>6.7.2.1.1</w:t>
      </w:r>
      <w:r>
        <w:rPr>
          <w:rFonts w:ascii="黑体" w:hAnsi="宋体" w:eastAsia="黑体" w:cs="黑体"/>
          <w:color w:val="auto"/>
          <w:kern w:val="0"/>
          <w:sz w:val="21"/>
          <w:szCs w:val="21"/>
          <w:lang w:val="en-US" w:eastAsia="zh-CN" w:bidi="ar"/>
        </w:rPr>
        <w:t xml:space="preserve"> </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新建的建筑物内应有总等电位联结。 </w:t>
      </w:r>
    </w:p>
    <w:p w14:paraId="42D3B3ED">
      <w:pPr>
        <w:keepNext w:val="0"/>
        <w:keepLines w:val="0"/>
        <w:widowControl/>
        <w:suppressLineNumbers w:val="0"/>
        <w:jc w:val="left"/>
        <w:rPr>
          <w:rFonts w:hint="default"/>
          <w:color w:val="auto"/>
          <w:lang w:val="en-US"/>
        </w:rPr>
      </w:pPr>
      <w:r>
        <w:rPr>
          <w:rFonts w:hint="eastAsia" w:ascii="黑体" w:hAnsi="黑体" w:eastAsia="黑体" w:cs="黑体"/>
          <w:snapToGrid w:val="0"/>
          <w:color w:val="auto"/>
          <w:kern w:val="0"/>
          <w:sz w:val="21"/>
          <w:szCs w:val="21"/>
          <w:lang w:val="en-US" w:eastAsia="zh-CN" w:bidi="ar"/>
        </w:rPr>
        <w:t>6.7.2.1.2</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等电位联结中各联结点应牢固连接，可靠导电。</w:t>
      </w:r>
    </w:p>
    <w:p w14:paraId="5CDB8DD5">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r>
        <w:rPr>
          <w:rFonts w:hint="eastAsia" w:ascii="黑体" w:hAnsi="黑体" w:eastAsia="黑体" w:cs="黑体"/>
          <w:snapToGrid w:val="0"/>
          <w:color w:val="auto"/>
          <w:kern w:val="0"/>
          <w:sz w:val="21"/>
          <w:szCs w:val="21"/>
          <w:lang w:val="en-US" w:eastAsia="zh-CN" w:bidi="ar"/>
        </w:rPr>
        <w:t>6.7.2.1.3</w:t>
      </w:r>
      <w:r>
        <w:rPr>
          <w:rFonts w:hint="eastAsia" w:ascii="黑体" w:hAnsi="宋体" w:eastAsia="黑体" w:cs="黑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总等电位联结导体的截面不应小于进线回路中PE(PEN）线截面的1/2，但最大不超过25 mm</w:t>
      </w:r>
      <w:r>
        <w:rPr>
          <w:rFonts w:hint="eastAsia" w:ascii="宋体" w:hAnsi="宋体" w:eastAsia="宋体" w:cs="宋体"/>
          <w:color w:val="auto"/>
          <w:kern w:val="0"/>
          <w:sz w:val="21"/>
          <w:szCs w:val="21"/>
          <w:vertAlign w:val="superscript"/>
          <w:lang w:val="en-US" w:eastAsia="zh-CN" w:bidi="ar"/>
        </w:rPr>
        <w:t>2</w:t>
      </w:r>
      <w:r>
        <w:rPr>
          <w:rFonts w:hint="eastAsia" w:ascii="宋体" w:hAnsi="宋体" w:eastAsia="宋体" w:cs="宋体"/>
          <w:color w:val="auto"/>
          <w:kern w:val="0"/>
          <w:sz w:val="11"/>
          <w:szCs w:val="11"/>
          <w:lang w:val="en-US" w:eastAsia="zh-CN" w:bidi="ar"/>
        </w:rPr>
        <w:t xml:space="preserve"> </w:t>
      </w:r>
    </w:p>
    <w:p w14:paraId="2E8EB0BB">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rPr>
      </w:pPr>
      <w:r>
        <w:rPr>
          <w:rFonts w:hint="eastAsia" w:ascii="宋体" w:hAnsi="宋体" w:eastAsia="宋体" w:cs="宋体"/>
          <w:color w:val="auto"/>
          <w:kern w:val="0"/>
          <w:sz w:val="21"/>
          <w:szCs w:val="21"/>
          <w:lang w:val="en-US" w:eastAsia="zh-CN" w:bidi="ar"/>
        </w:rPr>
        <w:t>铜线，最小不小于6 mm</w:t>
      </w:r>
      <w:r>
        <w:rPr>
          <w:rFonts w:hint="eastAsia" w:ascii="宋体" w:hAnsi="宋体" w:eastAsia="宋体" w:cs="宋体"/>
          <w:color w:val="auto"/>
          <w:kern w:val="0"/>
          <w:sz w:val="21"/>
          <w:szCs w:val="21"/>
          <w:vertAlign w:val="superscript"/>
          <w:lang w:val="en-US" w:eastAsia="zh-CN" w:bidi="ar"/>
        </w:rPr>
        <w:t>2</w:t>
      </w:r>
      <w:r>
        <w:rPr>
          <w:rFonts w:hint="eastAsia" w:ascii="宋体" w:hAnsi="宋体" w:eastAsia="宋体" w:cs="宋体"/>
          <w:color w:val="auto"/>
          <w:kern w:val="0"/>
          <w:sz w:val="21"/>
          <w:szCs w:val="21"/>
          <w:lang w:val="en-US" w:eastAsia="zh-CN" w:bidi="ar"/>
        </w:rPr>
        <w:t>铜线。可采用相同导电率的其他材质导线，但均不得采用铝线。当采用钢材时</w:t>
      </w:r>
    </w:p>
    <w:p w14:paraId="45759F8A">
      <w:pPr>
        <w:pStyle w:val="258"/>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可采用Φ10mm热镀锌圆钢或25×4mm热镀锌扁钢。</w:t>
      </w:r>
    </w:p>
    <w:p w14:paraId="11157CA9">
      <w:pPr>
        <w:pStyle w:val="259"/>
        <w:bidi w:val="0"/>
        <w:rPr>
          <w:rFonts w:hint="eastAsia"/>
          <w:color w:val="auto"/>
          <w:lang w:val="en-US" w:eastAsia="zh-CN"/>
        </w:rPr>
      </w:pPr>
      <w:bookmarkStart w:id="428" w:name="_Toc2377"/>
      <w:bookmarkStart w:id="429" w:name="_Toc6071"/>
      <w:bookmarkStart w:id="430" w:name="_Toc11243"/>
      <w:bookmarkStart w:id="431" w:name="_Toc24192"/>
      <w:bookmarkStart w:id="432" w:name="_Toc2342"/>
      <w:bookmarkStart w:id="433" w:name="_Toc13007"/>
      <w:bookmarkStart w:id="434" w:name="_Toc7055"/>
      <w:bookmarkStart w:id="435" w:name="_Toc28315"/>
      <w:bookmarkStart w:id="436" w:name="_Toc4118"/>
      <w:bookmarkStart w:id="437" w:name="_Toc24159"/>
      <w:bookmarkStart w:id="438" w:name="_Toc1228"/>
      <w:bookmarkStart w:id="439" w:name="_Toc6577"/>
      <w:bookmarkStart w:id="440" w:name="_Toc30136"/>
      <w:bookmarkStart w:id="441" w:name="_Toc28660"/>
      <w:bookmarkStart w:id="442" w:name="_Toc28878"/>
      <w:bookmarkStart w:id="443" w:name="_Toc1479"/>
      <w:bookmarkStart w:id="444" w:name="_Toc8672"/>
      <w:bookmarkStart w:id="445" w:name="_Toc4492"/>
      <w:bookmarkStart w:id="446" w:name="_Toc29513"/>
      <w:bookmarkStart w:id="447" w:name="_Toc23677"/>
      <w:bookmarkStart w:id="448" w:name="_Toc7328"/>
      <w:bookmarkStart w:id="449" w:name="_Toc1648"/>
      <w:bookmarkStart w:id="450" w:name="_Toc15877"/>
      <w:bookmarkStart w:id="451" w:name="_Toc32341"/>
      <w:bookmarkStart w:id="452" w:name="_Toc28125"/>
      <w:r>
        <w:rPr>
          <w:rFonts w:hint="eastAsia" w:hAnsi="Times New Roman" w:cs="Times New Roman"/>
          <w:color w:val="auto"/>
          <w:lang w:val="en-US" w:eastAsia="zh-CN"/>
        </w:rPr>
        <w:t>检测</w:t>
      </w:r>
      <w:r>
        <w:rPr>
          <w:rFonts w:hint="eastAsia" w:cs="Times New Roman"/>
          <w:color w:val="auto"/>
          <w:lang w:val="en-US" w:eastAsia="zh-CN"/>
        </w:rPr>
        <w:t>方法</w:t>
      </w:r>
      <w:bookmarkEnd w:id="428"/>
    </w:p>
    <w:p w14:paraId="66BABE9C">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2"/>
        <w:rPr>
          <w:rFonts w:hint="eastAsia" w:ascii="黑体" w:hAnsi="黑体" w:eastAsia="黑体" w:cs="黑体"/>
          <w:snapToGrid w:val="0"/>
          <w:color w:val="auto"/>
          <w:spacing w:val="8"/>
          <w:kern w:val="0"/>
          <w:sz w:val="21"/>
          <w:szCs w:val="21"/>
          <w:highlight w:val="none"/>
          <w:lang w:val="en-US" w:eastAsia="zh-CN"/>
        </w:rPr>
      </w:pPr>
      <w:bookmarkStart w:id="453" w:name="_Toc3248"/>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检测方法</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6F657951">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3"/>
        <w:rPr>
          <w:rFonts w:hint="eastAsia" w:ascii="黑体" w:hAnsi="黑体" w:eastAsia="黑体" w:cs="黑体"/>
          <w:snapToGrid w:val="0"/>
          <w:color w:val="auto"/>
          <w:spacing w:val="8"/>
          <w:kern w:val="0"/>
          <w:sz w:val="21"/>
          <w:szCs w:val="21"/>
          <w:highlight w:val="none"/>
          <w:lang w:val="en-US" w:eastAsia="zh-CN"/>
        </w:rPr>
      </w:pPr>
      <w:bookmarkStart w:id="454" w:name="_Toc13348"/>
      <w:bookmarkStart w:id="455" w:name="_Toc21039"/>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.1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温度检测</w:t>
      </w:r>
      <w:bookmarkEnd w:id="454"/>
      <w:bookmarkEnd w:id="455"/>
    </w:p>
    <w:p w14:paraId="7621569A">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highlight w:val="none"/>
          <w:lang w:val="en-US" w:eastAsia="zh-CN"/>
        </w:rPr>
      </w:pPr>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.1.1 测试方法 </w:t>
      </w:r>
    </w:p>
    <w:p w14:paraId="07D3897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840" w:leftChars="200" w:hanging="420" w:hangingChars="200"/>
        <w:jc w:val="left"/>
        <w:textAlignment w:val="baseline"/>
        <w:rPr>
          <w:color w:val="auto"/>
          <w:sz w:val="21"/>
          <w:szCs w:val="21"/>
          <w:highlight w:val="none"/>
        </w:rPr>
      </w:pPr>
      <w:r>
        <w:rPr>
          <w:rFonts w:hint="eastAsia" w:ascii="宋体" w:hAnsi="宋体" w:cs="宋体"/>
          <w:snapToGrid w:val="0"/>
          <w:color w:val="auto"/>
          <w:kern w:val="0"/>
          <w:sz w:val="21"/>
          <w:szCs w:val="21"/>
          <w:lang w:val="en-US" w:eastAsia="zh-CN" w:bidi="ar"/>
        </w:rPr>
        <w:t>a)</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color w:val="auto"/>
          <w:kern w:val="0"/>
          <w:sz w:val="21"/>
          <w:szCs w:val="21"/>
          <w:lang w:val="en-US" w:eastAsia="zh-CN" w:bidi="ar"/>
        </w:rPr>
        <w:t>使用红外热像仪对电气设备和线路进行全面扫描检测，发现异常发热部位，然后使用红外测温仪对异常发热部位进行测温。</w:t>
      </w:r>
      <w:r>
        <w:rPr>
          <w:rFonts w:hint="eastAsia" w:ascii="宋体" w:hAnsi="宋体" w:eastAsia="宋体" w:cs="宋体"/>
          <w:snapToGrid w:val="0"/>
          <w:color w:val="auto"/>
          <w:kern w:val="0"/>
          <w:sz w:val="21"/>
          <w:szCs w:val="21"/>
          <w:highlight w:val="none"/>
          <w:lang w:val="en-US" w:eastAsia="zh-CN" w:bidi="ar"/>
        </w:rPr>
        <w:t xml:space="preserve"> </w:t>
      </w:r>
    </w:p>
    <w:p w14:paraId="3DC3CE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color w:val="auto"/>
          <w:sz w:val="21"/>
          <w:szCs w:val="21"/>
          <w:highlight w:val="none"/>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对异常发热部位，应从不同观测角度进行不少于三次的测温，取其最大值。 </w:t>
      </w:r>
    </w:p>
    <w:p w14:paraId="535A56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color w:val="auto"/>
          <w:sz w:val="21"/>
          <w:szCs w:val="21"/>
          <w:highlight w:val="none"/>
        </w:rPr>
      </w:pPr>
      <w:r>
        <w:rPr>
          <w:rFonts w:hint="eastAsia" w:ascii="宋体" w:hAnsi="宋体" w:cs="宋体"/>
          <w:snapToGrid w:val="0"/>
          <w:color w:val="auto"/>
          <w:kern w:val="0"/>
          <w:sz w:val="21"/>
          <w:szCs w:val="21"/>
          <w:lang w:val="en-US" w:eastAsia="zh-CN" w:bidi="ar"/>
        </w:rPr>
        <w:t>c)</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测量时应正确选择被测物体的表面发射率。 </w:t>
      </w:r>
    </w:p>
    <w:p w14:paraId="00452C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color w:val="auto"/>
          <w:sz w:val="21"/>
          <w:szCs w:val="21"/>
          <w:highlight w:val="none"/>
        </w:rPr>
      </w:pPr>
      <w:r>
        <w:rPr>
          <w:rFonts w:hint="eastAsia" w:ascii="宋体" w:hAnsi="宋体" w:cs="宋体"/>
          <w:snapToGrid w:val="0"/>
          <w:color w:val="auto"/>
          <w:kern w:val="0"/>
          <w:sz w:val="21"/>
          <w:szCs w:val="21"/>
          <w:lang w:val="en-US" w:eastAsia="zh-CN" w:bidi="ar"/>
        </w:rPr>
        <w:t>d)</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测量时应考虑环境温度、相对湿度和测量距离对测量结果的影响。 </w:t>
      </w:r>
    </w:p>
    <w:p w14:paraId="48B3EE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color w:val="auto"/>
          <w:sz w:val="21"/>
          <w:szCs w:val="21"/>
          <w:highlight w:val="none"/>
        </w:rPr>
      </w:pPr>
      <w:r>
        <w:rPr>
          <w:rFonts w:hint="eastAsia" w:ascii="宋体" w:hAnsi="宋体" w:cs="宋体"/>
          <w:snapToGrid w:val="0"/>
          <w:color w:val="auto"/>
          <w:kern w:val="0"/>
          <w:sz w:val="21"/>
          <w:szCs w:val="21"/>
          <w:lang w:val="en-US" w:eastAsia="zh-CN" w:bidi="ar"/>
        </w:rPr>
        <w:t>e)</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对异常发热部位，应记录异常发热设备的实际负载电流、发热部件的表面温度以及环境温度。 </w:t>
      </w:r>
    </w:p>
    <w:p w14:paraId="47846A82">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highlight w:val="none"/>
          <w:lang w:val="en-US" w:eastAsia="zh-CN"/>
        </w:rPr>
      </w:pPr>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.1.2 隐患判定 </w:t>
      </w:r>
    </w:p>
    <w:p w14:paraId="7950E5E1">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highlight w:val="none"/>
          <w:lang w:val="en-US" w:eastAsia="zh-CN"/>
        </w:rPr>
      </w:pPr>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.1.2.1 表面温度判断法 </w:t>
      </w:r>
    </w:p>
    <w:p w14:paraId="18EA9ACB">
      <w:pPr>
        <w:keepNext w:val="0"/>
        <w:keepLines w:val="0"/>
        <w:pageBreakBefore w:val="0"/>
        <w:widowControl/>
        <w:suppressLineNumbers w:val="0"/>
        <w:kinsoku w:val="0"/>
        <w:wordWrap/>
        <w:overflowPunct/>
        <w:topLinePunct w:val="0"/>
        <w:autoSpaceDE/>
        <w:autoSpaceDN/>
        <w:bidi w:val="0"/>
        <w:adjustRightInd w:val="0"/>
        <w:snapToGrid w:val="0"/>
        <w:spacing w:line="240" w:lineRule="auto"/>
        <w:ind w:left="840" w:leftChars="200" w:hanging="420" w:hangingChars="200"/>
        <w:jc w:val="left"/>
        <w:textAlignment w:val="baseline"/>
        <w:rPr>
          <w:color w:val="auto"/>
          <w:sz w:val="21"/>
          <w:szCs w:val="21"/>
          <w:highlight w:val="none"/>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当受检电气线路和设备在满载的情况下，使用红外测温仪测得电气装置相关发热部位的表面温度，可根据表2、表3、表4、表6给出的温度或温升标准加以比较，判定存在的火灾隐患。 </w:t>
      </w:r>
    </w:p>
    <w:p w14:paraId="03B3DD8C">
      <w:pPr>
        <w:keepNext w:val="0"/>
        <w:keepLines w:val="0"/>
        <w:pageBreakBefore w:val="0"/>
        <w:widowControl/>
        <w:suppressLineNumbers w:val="0"/>
        <w:kinsoku w:val="0"/>
        <w:wordWrap/>
        <w:overflowPunct/>
        <w:topLinePunct w:val="0"/>
        <w:autoSpaceDE/>
        <w:autoSpaceDN/>
        <w:bidi w:val="0"/>
        <w:adjustRightInd w:val="0"/>
        <w:snapToGrid w:val="0"/>
        <w:spacing w:line="240" w:lineRule="auto"/>
        <w:ind w:left="840" w:leftChars="200" w:hanging="420" w:hangingChars="20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当受检的电气线路和设备在低负载率的情况下，使用红外测温仪测得电气装置相关发热部位的表面温度。在低负载率情况下，实测的温度折合到满载情况下的温度与表2、表3、表4、表6的温度或温升标准加以比较，判定存在的火灾隐患。其理论计算公式如下： </w:t>
      </w:r>
    </w:p>
    <w:p w14:paraId="55DDE1E7">
      <w:pPr>
        <w:pStyle w:val="350"/>
        <w:bidi w:val="0"/>
        <w:textAlignment w:val="bottom"/>
        <w:rPr>
          <w:rFonts w:hint="eastAsia" w:ascii="宋体" w:hAnsi="宋体" w:eastAsia="宋体" w:cs="宋体"/>
          <w:b/>
          <w:bCs/>
          <w:color w:val="auto"/>
          <w:spacing w:val="11"/>
          <w:sz w:val="21"/>
          <w:szCs w:val="21"/>
          <w:highlight w:val="none"/>
          <w:lang w:val="en-US" w:eastAsia="zh-CN"/>
        </w:rPr>
      </w:pPr>
      <w:r>
        <w:rPr>
          <w:rFonts w:hint="eastAsia" w:ascii="宋体" w:hAnsi="宋体" w:cs="宋体"/>
          <w:b/>
          <w:bCs/>
          <w:color w:val="auto"/>
          <w:spacing w:val="11"/>
          <w:position w:val="-10"/>
          <w:sz w:val="21"/>
          <w:szCs w:val="21"/>
          <w:highlight w:val="none"/>
          <w:lang w:val="en-US" w:eastAsia="zh-CN"/>
        </w:rPr>
        <w:tab/>
      </w:r>
      <w:r>
        <w:rPr>
          <w:rFonts w:hint="eastAsia" w:ascii="宋体" w:hAnsi="宋体" w:eastAsia="宋体" w:cs="宋体"/>
          <w:b/>
          <w:bCs/>
          <w:color w:val="auto"/>
          <w:spacing w:val="11"/>
          <w:position w:val="-28"/>
          <w:sz w:val="21"/>
          <w:szCs w:val="21"/>
          <w:highlight w:val="none"/>
          <w:lang w:val="en-US" w:eastAsia="zh-CN"/>
        </w:rPr>
        <w:object>
          <v:shape id="_x0000_i1028" o:spt="75" type="#_x0000_t75" style="height:37pt;width:109pt;" o:ole="t" filled="f" o:preferrelative="t" stroked="f" coordsize="21600,21600">
            <v:path/>
            <v:fill on="f" focussize="0,0"/>
            <v:stroke on="f"/>
            <v:imagedata r:id="rId23" o:title=""/>
            <o:lock v:ext="edit" aspectratio="t"/>
            <w10:wrap type="none"/>
            <w10:anchorlock/>
          </v:shape>
          <o:OLEObject Type="Embed" ProgID="Equation.KSEE3" ShapeID="_x0000_i1028" DrawAspect="Content" ObjectID="_1468075728" r:id="rId22">
            <o:LockedField>false</o:LockedField>
          </o:OLEObject>
        </w:object>
      </w:r>
      <w:r>
        <w:rPr>
          <w:rFonts w:hint="eastAsia" w:hAnsi="宋体" w:cs="宋体"/>
          <w:snapToGrid w:val="0"/>
          <w:color w:val="auto"/>
          <w:kern w:val="0"/>
          <w:sz w:val="21"/>
          <w:szCs w:val="21"/>
          <w:highlight w:val="none"/>
          <w:lang w:val="en-US" w:eastAsia="zh-CN" w:bidi="ar"/>
        </w:rPr>
        <w:tab/>
      </w:r>
      <w:r>
        <w:rPr>
          <w:rFonts w:hint="eastAsia" w:hAnsi="宋体" w:cs="宋体"/>
          <w:snapToGrid w:val="0"/>
          <w:color w:val="auto"/>
          <w:kern w:val="0"/>
          <w:sz w:val="21"/>
          <w:szCs w:val="21"/>
          <w:highlight w:val="none"/>
          <w:lang w:val="en-US" w:eastAsia="zh-CN" w:bidi="ar"/>
        </w:rPr>
        <w:t>(</w:t>
      </w:r>
      <w:r>
        <w:rPr>
          <w:rFonts w:hint="eastAsia" w:hAnsi="宋体" w:cs="宋体"/>
          <w:snapToGrid w:val="0"/>
          <w:color w:val="auto"/>
          <w:kern w:val="0"/>
          <w:sz w:val="21"/>
          <w:szCs w:val="21"/>
          <w:highlight w:val="none"/>
          <w:lang w:val="en-US" w:eastAsia="zh-CN" w:bidi="ar"/>
        </w:rPr>
        <w:fldChar w:fldCharType="begin"/>
      </w:r>
      <w:r>
        <w:rPr>
          <w:rFonts w:hint="eastAsia" w:hAnsi="宋体" w:cs="宋体"/>
          <w:snapToGrid w:val="0"/>
          <w:color w:val="auto"/>
          <w:kern w:val="0"/>
          <w:sz w:val="21"/>
          <w:szCs w:val="21"/>
          <w:highlight w:val="none"/>
          <w:lang w:val="en-US" w:eastAsia="zh-CN" w:bidi="ar"/>
        </w:rPr>
        <w:instrText xml:space="preserve"> SEQ 自动公式编号 \* ARABIC </w:instrText>
      </w:r>
      <w:r>
        <w:rPr>
          <w:rFonts w:hint="eastAsia" w:hAnsi="宋体" w:cs="宋体"/>
          <w:snapToGrid w:val="0"/>
          <w:color w:val="auto"/>
          <w:kern w:val="0"/>
          <w:sz w:val="21"/>
          <w:szCs w:val="21"/>
          <w:highlight w:val="none"/>
          <w:lang w:val="en-US" w:eastAsia="zh-CN" w:bidi="ar"/>
        </w:rPr>
        <w:fldChar w:fldCharType="separate"/>
      </w:r>
      <w:r>
        <w:rPr>
          <w:rFonts w:hint="eastAsia" w:hAnsi="宋体" w:cs="宋体"/>
          <w:snapToGrid w:val="0"/>
          <w:color w:val="auto"/>
          <w:kern w:val="0"/>
          <w:sz w:val="21"/>
          <w:szCs w:val="21"/>
          <w:highlight w:val="none"/>
          <w:lang w:val="en-US" w:eastAsia="zh-CN" w:bidi="ar"/>
        </w:rPr>
        <w:t>1</w:t>
      </w:r>
      <w:r>
        <w:rPr>
          <w:rFonts w:hint="eastAsia" w:hAnsi="宋体" w:cs="宋体"/>
          <w:snapToGrid w:val="0"/>
          <w:color w:val="auto"/>
          <w:kern w:val="0"/>
          <w:sz w:val="21"/>
          <w:szCs w:val="21"/>
          <w:highlight w:val="none"/>
          <w:lang w:val="en-US" w:eastAsia="zh-CN" w:bidi="ar"/>
        </w:rPr>
        <w:fldChar w:fldCharType="end"/>
      </w:r>
      <w:r>
        <w:rPr>
          <w:rFonts w:hint="eastAsia" w:hAnsi="宋体" w:cs="宋体"/>
          <w:snapToGrid w:val="0"/>
          <w:color w:val="auto"/>
          <w:kern w:val="0"/>
          <w:sz w:val="21"/>
          <w:szCs w:val="21"/>
          <w:highlight w:val="none"/>
          <w:lang w:val="en-US" w:eastAsia="zh-CN" w:bidi="ar"/>
        </w:rPr>
        <w:t>)</w:t>
      </w:r>
    </w:p>
    <w:p w14:paraId="32A0FA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式中：</w:t>
      </w:r>
    </w:p>
    <w:p w14:paraId="7E415795">
      <w:pPr>
        <w:keepNext w:val="0"/>
        <w:keepLines w:val="0"/>
        <w:pageBreakBefore w:val="0"/>
        <w:widowControl/>
        <w:tabs>
          <w:tab w:val="right" w:leader="dot" w:pos="9334"/>
        </w:tabs>
        <w:kinsoku w:val="0"/>
        <w:wordWrap/>
        <w:overflowPunct/>
        <w:topLinePunct w:val="0"/>
        <w:autoSpaceDE/>
        <w:autoSpaceDN/>
        <w:bidi w:val="0"/>
        <w:adjustRightInd w:val="0"/>
        <w:snapToGrid w:val="0"/>
        <w:spacing w:line="240" w:lineRule="auto"/>
        <w:ind w:left="0" w:firstLine="420" w:firstLineChars="200"/>
        <w:jc w:val="both"/>
        <w:textAlignment w:val="baseline"/>
        <w:rPr>
          <w:rFonts w:hint="eastAsia" w:ascii="宋体" w:hAnsi="宋体" w:eastAsia="宋体" w:cs="宋体"/>
          <w:b w:val="0"/>
          <w:bCs w:val="0"/>
          <w:color w:val="auto"/>
          <w:spacing w:val="11"/>
          <w:sz w:val="21"/>
          <w:szCs w:val="21"/>
          <w:highlight w:val="none"/>
          <w:lang w:val="en-US" w:eastAsia="zh-CN"/>
        </w:rPr>
      </w:pPr>
      <w:r>
        <w:rPr>
          <w:color w:val="auto"/>
          <w:position w:val="-12"/>
          <w:sz w:val="21"/>
          <w:szCs w:val="21"/>
          <w:highlight w:val="none"/>
        </w:rPr>
        <w:object>
          <v:shape id="_x0000_i1029" o:spt="75" type="#_x0000_t75" style="height:18pt;width:12pt;" o:ole="t" filled="f" o:preferrelative="t" stroked="f" coordsize="21600,21600">
            <v:path/>
            <v:fill on="f" focussize="0,0"/>
            <v:stroke on="f"/>
            <v:imagedata r:id="rId25" o:title=""/>
            <o:lock v:ext="edit" aspectratio="t"/>
            <w10:wrap type="none"/>
            <w10:anchorlock/>
          </v:shape>
          <o:OLEObject Type="Embed" ProgID="Equation.KSEE3" ShapeID="_x0000_i1029" DrawAspect="Content" ObjectID="_1468075729" r:id="rId24">
            <o:LockedField>false</o:LockedField>
          </o:OLEObject>
        </w:object>
      </w:r>
      <w:r>
        <w:rPr>
          <w:rFonts w:hint="eastAsia" w:ascii="宋体" w:hAnsi="宋体" w:eastAsia="宋体" w:cs="宋体"/>
          <w:b w:val="0"/>
          <w:bCs w:val="0"/>
          <w:color w:val="auto"/>
          <w:spacing w:val="11"/>
          <w:sz w:val="21"/>
          <w:szCs w:val="21"/>
          <w:highlight w:val="none"/>
          <w:lang w:val="en-US" w:eastAsia="zh-CN"/>
        </w:rPr>
        <w:t>——折合到额定电流下的计算温度（℃）；</w:t>
      </w:r>
    </w:p>
    <w:p w14:paraId="141874F9">
      <w:pPr>
        <w:keepNext w:val="0"/>
        <w:keepLines w:val="0"/>
        <w:pageBreakBefore w:val="0"/>
        <w:widowControl/>
        <w:tabs>
          <w:tab w:val="right" w:leader="dot" w:pos="9334"/>
        </w:tabs>
        <w:kinsoku w:val="0"/>
        <w:wordWrap/>
        <w:overflowPunct/>
        <w:topLinePunct w:val="0"/>
        <w:autoSpaceDE/>
        <w:autoSpaceDN/>
        <w:bidi w:val="0"/>
        <w:adjustRightInd w:val="0"/>
        <w:snapToGrid w:val="0"/>
        <w:spacing w:line="240" w:lineRule="auto"/>
        <w:ind w:left="0" w:firstLine="420" w:firstLineChars="200"/>
        <w:jc w:val="both"/>
        <w:textAlignment w:val="baseline"/>
        <w:rPr>
          <w:rFonts w:hint="eastAsia" w:ascii="宋体" w:hAnsi="宋体" w:eastAsia="宋体" w:cs="宋体"/>
          <w:b w:val="0"/>
          <w:bCs w:val="0"/>
          <w:color w:val="auto"/>
          <w:spacing w:val="11"/>
          <w:sz w:val="21"/>
          <w:szCs w:val="21"/>
          <w:highlight w:val="none"/>
          <w:lang w:val="en-US" w:eastAsia="zh-CN"/>
        </w:rPr>
      </w:pPr>
      <w:r>
        <w:rPr>
          <w:color w:val="auto"/>
          <w:sz w:val="21"/>
          <w:szCs w:val="21"/>
          <w:highlight w:val="none"/>
        </w:rPr>
        <w:drawing>
          <wp:inline distT="0" distB="0" distL="114300" distR="114300">
            <wp:extent cx="133350" cy="161925"/>
            <wp:effectExtent l="0" t="0" r="6350" b="254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26"/>
                    <a:stretch>
                      <a:fillRect/>
                    </a:stretch>
                  </pic:blipFill>
                  <pic:spPr>
                    <a:xfrm>
                      <a:off x="0" y="0"/>
                      <a:ext cx="133350" cy="161925"/>
                    </a:xfrm>
                    <a:prstGeom prst="rect">
                      <a:avLst/>
                    </a:prstGeom>
                    <a:noFill/>
                    <a:ln>
                      <a:noFill/>
                    </a:ln>
                  </pic:spPr>
                </pic:pic>
              </a:graphicData>
            </a:graphic>
          </wp:inline>
        </w:drawing>
      </w:r>
      <w:r>
        <w:rPr>
          <w:rFonts w:hint="eastAsia" w:ascii="宋体" w:hAnsi="宋体" w:eastAsia="宋体" w:cs="宋体"/>
          <w:b w:val="0"/>
          <w:bCs w:val="0"/>
          <w:color w:val="auto"/>
          <w:spacing w:val="11"/>
          <w:sz w:val="21"/>
          <w:szCs w:val="21"/>
          <w:highlight w:val="none"/>
          <w:lang w:val="en-US" w:eastAsia="zh-CN"/>
        </w:rPr>
        <w:t xml:space="preserve">——实测负载电流下的温度（℃）； </w:t>
      </w:r>
    </w:p>
    <w:p w14:paraId="5FFEC1AB">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64" w:firstLineChars="200"/>
        <w:jc w:val="both"/>
        <w:textAlignment w:val="baseline"/>
        <w:rPr>
          <w:rFonts w:hint="eastAsia" w:ascii="宋体" w:hAnsi="宋体" w:eastAsia="宋体" w:cs="宋体"/>
          <w:b w:val="0"/>
          <w:bCs w:val="0"/>
          <w:color w:val="auto"/>
          <w:spacing w:val="11"/>
          <w:sz w:val="21"/>
          <w:szCs w:val="21"/>
          <w:highlight w:val="none"/>
          <w:lang w:val="en-US" w:eastAsia="zh-CN"/>
        </w:rPr>
      </w:pPr>
      <w:r>
        <w:rPr>
          <w:rFonts w:hint="eastAsia" w:ascii="宋体" w:hAnsi="宋体" w:eastAsia="宋体" w:cs="宋体"/>
          <w:b w:val="0"/>
          <w:bCs w:val="0"/>
          <w:color w:val="auto"/>
          <w:spacing w:val="11"/>
          <w:position w:val="-12"/>
          <w:sz w:val="21"/>
          <w:szCs w:val="21"/>
          <w:highlight w:val="none"/>
          <w:lang w:val="en-US" w:eastAsia="zh-CN"/>
        </w:rPr>
        <w:object>
          <v:shape id="_x0000_i1030" o:spt="75" type="#_x0000_t75" style="height:19pt;width:13pt;" o:ole="t" filled="f" o:preferrelative="t" stroked="f" coordsize="21600,21600">
            <v:path/>
            <v:fill on="f" focussize="0,0"/>
            <v:stroke on="f"/>
            <v:imagedata r:id="rId28" o:title=""/>
            <o:lock v:ext="edit" aspectratio="t"/>
            <w10:wrap type="none"/>
            <w10:anchorlock/>
          </v:shape>
          <o:OLEObject Type="Embed" ProgID="Equation.KSEE3" ShapeID="_x0000_i1030" DrawAspect="Content" ObjectID="_1468075730" r:id="rId27">
            <o:LockedField>false</o:LockedField>
          </o:OLEObject>
        </w:object>
      </w:r>
      <w:r>
        <w:rPr>
          <w:rFonts w:hint="eastAsia" w:ascii="宋体" w:hAnsi="宋体" w:eastAsia="宋体" w:cs="宋体"/>
          <w:b w:val="0"/>
          <w:bCs w:val="0"/>
          <w:color w:val="auto"/>
          <w:spacing w:val="11"/>
          <w:sz w:val="21"/>
          <w:szCs w:val="21"/>
          <w:highlight w:val="none"/>
          <w:lang w:val="en-US" w:eastAsia="zh-CN"/>
        </w:rPr>
        <w:t xml:space="preserve">——实测环境温度（℃）； </w:t>
      </w:r>
    </w:p>
    <w:p w14:paraId="79D8A1D7">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64" w:firstLineChars="200"/>
        <w:jc w:val="both"/>
        <w:textAlignment w:val="baseline"/>
        <w:rPr>
          <w:rFonts w:hint="eastAsia" w:ascii="宋体" w:hAnsi="宋体" w:eastAsia="宋体" w:cs="宋体"/>
          <w:b w:val="0"/>
          <w:bCs w:val="0"/>
          <w:color w:val="auto"/>
          <w:spacing w:val="11"/>
          <w:sz w:val="21"/>
          <w:szCs w:val="21"/>
          <w:highlight w:val="none"/>
          <w:lang w:val="en-US" w:eastAsia="zh-CN"/>
        </w:rPr>
      </w:pPr>
      <w:r>
        <w:rPr>
          <w:rFonts w:hint="eastAsia" w:ascii="宋体" w:hAnsi="宋体" w:eastAsia="宋体" w:cs="宋体"/>
          <w:b w:val="0"/>
          <w:bCs w:val="0"/>
          <w:color w:val="auto"/>
          <w:spacing w:val="11"/>
          <w:position w:val="-12"/>
          <w:sz w:val="21"/>
          <w:szCs w:val="21"/>
          <w:highlight w:val="none"/>
          <w:lang w:val="en-US" w:eastAsia="zh-CN"/>
        </w:rPr>
        <w:object>
          <v:shape id="_x0000_i1031" o:spt="75" type="#_x0000_t75" style="height:18pt;width:12pt;" o:ole="t" filled="f" o:preferrelative="t" stroked="f" coordsize="21600,21600">
            <v:path/>
            <v:fill on="f" focussize="0,0"/>
            <v:stroke on="f"/>
            <v:imagedata r:id="rId30" o:title=""/>
            <o:lock v:ext="edit" aspectratio="t"/>
            <w10:wrap type="none"/>
            <w10:anchorlock/>
          </v:shape>
          <o:OLEObject Type="Embed" ProgID="Equation.KSEE3" ShapeID="_x0000_i1031" DrawAspect="Content" ObjectID="_1468075731" r:id="rId29">
            <o:LockedField>false</o:LockedField>
          </o:OLEObject>
        </w:object>
      </w:r>
      <w:r>
        <w:rPr>
          <w:rFonts w:hint="eastAsia" w:ascii="宋体" w:hAnsi="宋体" w:eastAsia="宋体" w:cs="宋体"/>
          <w:b w:val="0"/>
          <w:bCs w:val="0"/>
          <w:color w:val="auto"/>
          <w:spacing w:val="11"/>
          <w:sz w:val="21"/>
          <w:szCs w:val="21"/>
          <w:highlight w:val="none"/>
          <w:lang w:val="en-US" w:eastAsia="zh-CN"/>
        </w:rPr>
        <w:t xml:space="preserve">——额定负载电流（A）； </w:t>
      </w:r>
    </w:p>
    <w:p w14:paraId="77F3820D">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jc w:val="both"/>
        <w:textAlignment w:val="baseline"/>
        <w:rPr>
          <w:rFonts w:hint="eastAsia" w:ascii="宋体" w:hAnsi="宋体" w:eastAsia="宋体" w:cs="宋体"/>
          <w:b w:val="0"/>
          <w:bCs w:val="0"/>
          <w:color w:val="auto"/>
          <w:spacing w:val="11"/>
          <w:sz w:val="21"/>
          <w:szCs w:val="21"/>
          <w:highlight w:val="none"/>
          <w:lang w:val="en-US" w:eastAsia="zh-CN"/>
        </w:rPr>
      </w:pPr>
      <w:r>
        <w:rPr>
          <w:color w:val="auto"/>
          <w:sz w:val="21"/>
          <w:szCs w:val="21"/>
          <w:highlight w:val="none"/>
        </w:rPr>
        <w:drawing>
          <wp:inline distT="0" distB="0" distL="114300" distR="114300">
            <wp:extent cx="123825" cy="161925"/>
            <wp:effectExtent l="0" t="0" r="0" b="2540"/>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31"/>
                    <a:stretch>
                      <a:fillRect/>
                    </a:stretch>
                  </pic:blipFill>
                  <pic:spPr>
                    <a:xfrm>
                      <a:off x="0" y="0"/>
                      <a:ext cx="123825" cy="161925"/>
                    </a:xfrm>
                    <a:prstGeom prst="rect">
                      <a:avLst/>
                    </a:prstGeom>
                    <a:noFill/>
                    <a:ln>
                      <a:noFill/>
                    </a:ln>
                  </pic:spPr>
                </pic:pic>
              </a:graphicData>
            </a:graphic>
          </wp:inline>
        </w:drawing>
      </w:r>
      <w:r>
        <w:rPr>
          <w:rFonts w:hint="eastAsia" w:ascii="宋体" w:hAnsi="宋体" w:eastAsia="宋体" w:cs="宋体"/>
          <w:b w:val="0"/>
          <w:bCs w:val="0"/>
          <w:color w:val="auto"/>
          <w:spacing w:val="11"/>
          <w:sz w:val="21"/>
          <w:szCs w:val="21"/>
          <w:highlight w:val="none"/>
          <w:lang w:val="en-US" w:eastAsia="zh-CN"/>
        </w:rPr>
        <w:t xml:space="preserve">——实测负载电流（A）； </w:t>
      </w:r>
    </w:p>
    <w:p w14:paraId="19245683">
      <w:pPr>
        <w:keepNext w:val="0"/>
        <w:keepLines w:val="0"/>
        <w:pageBreakBefore w:val="0"/>
        <w:widowControl/>
        <w:tabs>
          <w:tab w:val="right" w:leader="dot" w:pos="9334"/>
        </w:tabs>
        <w:kinsoku w:val="0"/>
        <w:wordWrap/>
        <w:overflowPunct/>
        <w:topLinePunct w:val="0"/>
        <w:autoSpaceDE/>
        <w:autoSpaceDN/>
        <w:bidi w:val="0"/>
        <w:adjustRightInd w:val="0"/>
        <w:snapToGrid w:val="0"/>
        <w:spacing w:line="240" w:lineRule="auto"/>
        <w:ind w:left="0" w:firstLine="464" w:firstLineChars="200"/>
        <w:jc w:val="both"/>
        <w:textAlignment w:val="baseline"/>
        <w:rPr>
          <w:rFonts w:hint="eastAsia" w:ascii="宋体" w:hAnsi="宋体" w:eastAsia="宋体" w:cs="宋体"/>
          <w:b w:val="0"/>
          <w:bCs w:val="0"/>
          <w:color w:val="auto"/>
          <w:spacing w:val="11"/>
          <w:sz w:val="21"/>
          <w:szCs w:val="21"/>
          <w:highlight w:val="none"/>
          <w:lang w:val="en-US" w:eastAsia="zh-CN"/>
        </w:rPr>
      </w:pPr>
      <w:r>
        <w:rPr>
          <w:rFonts w:hint="eastAsia" w:ascii="宋体" w:hAnsi="宋体" w:eastAsia="宋体" w:cs="宋体"/>
          <w:b w:val="0"/>
          <w:bCs w:val="0"/>
          <w:color w:val="auto"/>
          <w:spacing w:val="11"/>
          <w:position w:val="-12"/>
          <w:sz w:val="21"/>
          <w:szCs w:val="21"/>
          <w:highlight w:val="none"/>
          <w:lang w:val="en-US" w:eastAsia="zh-CN"/>
        </w:rPr>
        <w:object>
          <v:shape id="_x0000_i1032" o:spt="75" type="#_x0000_t75" style="height:18pt;width:13pt;" o:ole="t" filled="f" o:preferrelative="t" stroked="f" coordsize="21600,21600">
            <v:path/>
            <v:fill on="f" focussize="0,0"/>
            <v:stroke on="f"/>
            <v:imagedata r:id="rId33" o:title=""/>
            <o:lock v:ext="edit" aspectratio="t"/>
            <w10:wrap type="none"/>
            <w10:anchorlock/>
          </v:shape>
          <o:OLEObject Type="Embed" ProgID="Equation.KSEE3" ShapeID="_x0000_i1032" DrawAspect="Content" ObjectID="_1468075732" r:id="rId32">
            <o:LockedField>false</o:LockedField>
          </o:OLEObject>
        </w:object>
      </w:r>
      <w:r>
        <w:rPr>
          <w:rFonts w:hint="eastAsia" w:ascii="宋体" w:hAnsi="宋体" w:eastAsia="宋体" w:cs="宋体"/>
          <w:b w:val="0"/>
          <w:bCs w:val="0"/>
          <w:color w:val="auto"/>
          <w:spacing w:val="11"/>
          <w:sz w:val="21"/>
          <w:szCs w:val="21"/>
          <w:highlight w:val="none"/>
          <w:lang w:val="en-US" w:eastAsia="zh-CN"/>
        </w:rPr>
        <w:t xml:space="preserve">——规定的平均最高环境温度为40℃。 </w:t>
      </w:r>
    </w:p>
    <w:p w14:paraId="204A7F3A">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highlight w:val="none"/>
          <w:lang w:val="en-US" w:eastAsia="zh-CN"/>
        </w:rPr>
      </w:pPr>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.1.2.2 比较判断法 </w:t>
      </w:r>
    </w:p>
    <w:p w14:paraId="7B086F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对于电流致热型的同一电气设备，当三相负载电流平衡时，比较对应接线端子的温度（或温</w:t>
      </w:r>
    </w:p>
    <w:p w14:paraId="3DC4A4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cs="宋体"/>
          <w:snapToGrid w:val="0"/>
          <w:color w:val="auto"/>
          <w:kern w:val="0"/>
          <w:sz w:val="21"/>
          <w:szCs w:val="21"/>
          <w:highlight w:val="none"/>
          <w:lang w:val="en-US" w:eastAsia="zh-CN" w:bidi="ar"/>
        </w:rPr>
        <w:t>　　</w:t>
      </w:r>
      <w:r>
        <w:rPr>
          <w:rFonts w:hint="eastAsia" w:ascii="宋体" w:hAnsi="宋体" w:eastAsia="宋体" w:cs="宋体"/>
          <w:snapToGrid w:val="0"/>
          <w:color w:val="auto"/>
          <w:kern w:val="0"/>
          <w:sz w:val="21"/>
          <w:szCs w:val="21"/>
          <w:highlight w:val="none"/>
          <w:lang w:val="en-US" w:eastAsia="zh-CN" w:bidi="ar"/>
        </w:rPr>
        <w:t xml:space="preserve">升）的差异，可以判定存在的火灾隐患。 </w:t>
      </w:r>
    </w:p>
    <w:p w14:paraId="284F41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对同一回路中几台电流致热型的电气设备，当三相负载电流平衡且彼此相等时，比较其对应</w:t>
      </w:r>
    </w:p>
    <w:p w14:paraId="46AE01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highlight w:val="none"/>
          <w:lang w:val="en-US" w:eastAsia="zh-CN" w:bidi="ar"/>
        </w:rPr>
        <w:t>　　</w:t>
      </w:r>
      <w:r>
        <w:rPr>
          <w:rFonts w:hint="eastAsia" w:ascii="宋体" w:hAnsi="宋体" w:eastAsia="宋体" w:cs="宋体"/>
          <w:snapToGrid w:val="0"/>
          <w:color w:val="auto"/>
          <w:kern w:val="0"/>
          <w:sz w:val="21"/>
          <w:szCs w:val="21"/>
          <w:highlight w:val="none"/>
          <w:lang w:val="en-US" w:eastAsia="zh-CN" w:bidi="ar"/>
        </w:rPr>
        <w:t>接线端子或其它相关发热部位的温度（或温升）的差异可以判定存在的火灾隐患。当三相负载</w:t>
      </w:r>
      <w:r>
        <w:rPr>
          <w:rFonts w:hint="eastAsia" w:ascii="宋体" w:hAnsi="宋体" w:cs="宋体"/>
          <w:snapToGrid w:val="0"/>
          <w:color w:val="auto"/>
          <w:kern w:val="0"/>
          <w:sz w:val="21"/>
          <w:szCs w:val="21"/>
          <w:highlight w:val="none"/>
          <w:lang w:val="en-US" w:eastAsia="zh-CN" w:bidi="ar"/>
        </w:rPr>
        <w:t>　</w:t>
      </w:r>
    </w:p>
    <w:p w14:paraId="68EF90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cs="宋体"/>
          <w:snapToGrid w:val="0"/>
          <w:color w:val="auto"/>
          <w:kern w:val="0"/>
          <w:sz w:val="21"/>
          <w:szCs w:val="21"/>
          <w:highlight w:val="none"/>
          <w:lang w:val="en-US" w:eastAsia="zh-CN" w:bidi="ar"/>
        </w:rPr>
        <w:t>　　</w:t>
      </w:r>
      <w:r>
        <w:rPr>
          <w:rFonts w:hint="eastAsia" w:ascii="宋体" w:hAnsi="宋体" w:eastAsia="宋体" w:cs="宋体"/>
          <w:snapToGrid w:val="0"/>
          <w:color w:val="auto"/>
          <w:kern w:val="0"/>
          <w:sz w:val="21"/>
          <w:szCs w:val="21"/>
          <w:highlight w:val="none"/>
          <w:lang w:val="en-US" w:eastAsia="zh-CN" w:bidi="ar"/>
        </w:rPr>
        <w:t xml:space="preserve">电流不平衡或负载率较低时，应充分考虑实际负载电流对温度（或温升）的影响。 </w:t>
      </w:r>
    </w:p>
    <w:p w14:paraId="7A0C48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对于电压致热型的同一台电气设备，当三相电压平衡时，比较其对应接线端子或其它相关发</w:t>
      </w:r>
    </w:p>
    <w:p w14:paraId="3218BA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cs="宋体"/>
          <w:snapToGrid w:val="0"/>
          <w:color w:val="auto"/>
          <w:kern w:val="0"/>
          <w:sz w:val="21"/>
          <w:szCs w:val="21"/>
          <w:highlight w:val="none"/>
          <w:lang w:val="en-US" w:eastAsia="zh-CN" w:bidi="ar"/>
        </w:rPr>
        <w:t>　　</w:t>
      </w:r>
      <w:r>
        <w:rPr>
          <w:rFonts w:hint="eastAsia" w:ascii="宋体" w:hAnsi="宋体" w:eastAsia="宋体" w:cs="宋体"/>
          <w:snapToGrid w:val="0"/>
          <w:color w:val="auto"/>
          <w:kern w:val="0"/>
          <w:sz w:val="21"/>
          <w:szCs w:val="21"/>
          <w:highlight w:val="none"/>
          <w:lang w:val="en-US" w:eastAsia="zh-CN" w:bidi="ar"/>
        </w:rPr>
        <w:t xml:space="preserve">热部位的温度（或温升）的差异，可以判定存在的火灾隐患。 </w:t>
      </w:r>
    </w:p>
    <w:p w14:paraId="2A78ED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lang w:val="en-US" w:eastAsia="zh-CN" w:bidi="ar"/>
        </w:rPr>
        <w:t>d)</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对同一回路中几台电压致热型的电气设备，当三相电压平衡且负载端电压相同时，比较其对</w:t>
      </w:r>
    </w:p>
    <w:p w14:paraId="4D8E9E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highlight w:val="none"/>
          <w:lang w:val="en-US" w:eastAsia="zh-CN" w:bidi="ar"/>
        </w:rPr>
        <w:t>　　</w:t>
      </w:r>
      <w:r>
        <w:rPr>
          <w:rFonts w:hint="eastAsia" w:ascii="宋体" w:hAnsi="宋体" w:eastAsia="宋体" w:cs="宋体"/>
          <w:snapToGrid w:val="0"/>
          <w:color w:val="auto"/>
          <w:kern w:val="0"/>
          <w:sz w:val="21"/>
          <w:szCs w:val="21"/>
          <w:highlight w:val="none"/>
          <w:lang w:val="en-US" w:eastAsia="zh-CN" w:bidi="ar"/>
        </w:rPr>
        <w:t>应接线端子或其它相关发热部位的温度（或温升）的差异，可以判定存在的火灾隐患。当三相</w:t>
      </w:r>
    </w:p>
    <w:p w14:paraId="3EE968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cs="宋体"/>
          <w:snapToGrid w:val="0"/>
          <w:color w:val="auto"/>
          <w:kern w:val="0"/>
          <w:sz w:val="21"/>
          <w:szCs w:val="21"/>
          <w:highlight w:val="none"/>
          <w:lang w:val="en-US" w:eastAsia="zh-CN" w:bidi="ar"/>
        </w:rPr>
        <w:t>　　</w:t>
      </w:r>
      <w:r>
        <w:rPr>
          <w:rFonts w:hint="eastAsia" w:ascii="宋体" w:hAnsi="宋体" w:eastAsia="宋体" w:cs="宋体"/>
          <w:snapToGrid w:val="0"/>
          <w:color w:val="auto"/>
          <w:kern w:val="0"/>
          <w:sz w:val="21"/>
          <w:szCs w:val="21"/>
          <w:highlight w:val="none"/>
          <w:lang w:val="en-US" w:eastAsia="zh-CN" w:bidi="ar"/>
        </w:rPr>
        <w:t xml:space="preserve">电压不平衡时，应充分考虑三相不平衡电压对温度（或温升）的影响。 </w:t>
      </w:r>
    </w:p>
    <w:p w14:paraId="3572C080">
      <w:pPr>
        <w:keepNext w:val="0"/>
        <w:keepLines w:val="0"/>
        <w:pageBreakBefore w:val="0"/>
        <w:widowControl/>
        <w:suppressLineNumbers w:val="0"/>
        <w:kinsoku w:val="0"/>
        <w:wordWrap/>
        <w:overflowPunct/>
        <w:topLinePunct w:val="0"/>
        <w:autoSpaceDE w:val="0"/>
        <w:autoSpaceDN w:val="0"/>
        <w:bidi w:val="0"/>
        <w:adjustRightInd w:val="0"/>
        <w:snapToGrid w:val="0"/>
        <w:spacing w:before="157" w:beforeLines="50" w:after="157" w:afterLines="50" w:line="240" w:lineRule="auto"/>
        <w:jc w:val="left"/>
        <w:textAlignment w:val="baseline"/>
        <w:outlineLvl w:val="9"/>
        <w:rPr>
          <w:rFonts w:hint="eastAsia" w:ascii="黑体" w:hAnsi="黑体" w:eastAsia="黑体" w:cs="黑体"/>
          <w:color w:val="auto"/>
          <w:sz w:val="21"/>
          <w:szCs w:val="21"/>
          <w:highlight w:val="none"/>
        </w:rPr>
      </w:pPr>
      <w:r>
        <w:rPr>
          <w:rFonts w:hint="eastAsia" w:ascii="黑体" w:hAnsi="黑体" w:eastAsia="黑体" w:cs="黑体"/>
          <w:snapToGrid w:val="0"/>
          <w:color w:val="auto"/>
          <w:spacing w:val="8"/>
          <w:kern w:val="0"/>
          <w:sz w:val="21"/>
          <w:szCs w:val="21"/>
          <w:highlight w:val="none"/>
          <w:lang w:val="en-US" w:eastAsia="zh-CN" w:bidi="ar-SA"/>
        </w:rPr>
        <w:t xml:space="preserve">7.1.1.2.3 </w:t>
      </w:r>
      <w:r>
        <w:rPr>
          <w:rFonts w:hint="eastAsia" w:ascii="黑体" w:hAnsi="黑体" w:eastAsia="黑体" w:cs="黑体"/>
          <w:snapToGrid w:val="0"/>
          <w:color w:val="auto"/>
          <w:kern w:val="0"/>
          <w:sz w:val="21"/>
          <w:szCs w:val="21"/>
          <w:highlight w:val="none"/>
          <w:lang w:val="en-US" w:eastAsia="zh-CN" w:bidi="ar"/>
        </w:rPr>
        <w:t xml:space="preserve">热像图判断法 </w:t>
      </w:r>
    </w:p>
    <w:p w14:paraId="3577DF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color w:val="auto"/>
          <w:kern w:val="0"/>
          <w:sz w:val="21"/>
          <w:szCs w:val="21"/>
          <w:lang w:val="en-US" w:eastAsia="zh-CN" w:bidi="ar"/>
        </w:rPr>
        <w:t>根据红外热像仪对电气装置的相关发热部位在正常状态和异常状态下，热像图上温度分布的差异，可以判定存在的火灾隐患。</w:t>
      </w:r>
      <w:r>
        <w:rPr>
          <w:rFonts w:hint="eastAsia" w:ascii="宋体" w:hAnsi="宋体" w:eastAsia="宋体" w:cs="宋体"/>
          <w:snapToGrid w:val="0"/>
          <w:color w:val="auto"/>
          <w:kern w:val="0"/>
          <w:sz w:val="21"/>
          <w:szCs w:val="21"/>
          <w:highlight w:val="none"/>
          <w:lang w:val="en-US" w:eastAsia="zh-CN" w:bidi="ar"/>
        </w:rPr>
        <w:t xml:space="preserve"> </w:t>
      </w:r>
    </w:p>
    <w:p w14:paraId="46E9C6E8">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3"/>
        <w:rPr>
          <w:rFonts w:hint="eastAsia" w:ascii="黑体" w:hAnsi="黑体" w:eastAsia="黑体" w:cs="黑体"/>
          <w:snapToGrid w:val="0"/>
          <w:color w:val="auto"/>
          <w:spacing w:val="8"/>
          <w:kern w:val="0"/>
          <w:sz w:val="21"/>
          <w:szCs w:val="21"/>
          <w:highlight w:val="none"/>
          <w:lang w:val="en-US" w:eastAsia="zh-CN"/>
        </w:rPr>
      </w:pPr>
      <w:bookmarkStart w:id="456" w:name="_Toc14908"/>
      <w:bookmarkStart w:id="457" w:name="_Toc22022"/>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.2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绝缘电阻检测</w:t>
      </w:r>
      <w:bookmarkEnd w:id="456"/>
      <w:bookmarkEnd w:id="457"/>
    </w:p>
    <w:p w14:paraId="044B0DFB">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highlight w:val="none"/>
          <w:lang w:val="en-US" w:eastAsia="zh-CN"/>
        </w:rPr>
      </w:pPr>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.2.1</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测试方法</w:t>
      </w:r>
    </w:p>
    <w:p w14:paraId="36BA10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outlineLvl w:val="9"/>
        <w:rPr>
          <w:rFonts w:hint="eastAsia" w:ascii="黑体" w:hAnsi="黑体" w:eastAsia="黑体" w:cs="黑体"/>
          <w:snapToGrid w:val="0"/>
          <w:color w:val="auto"/>
          <w:kern w:val="0"/>
          <w:sz w:val="21"/>
          <w:szCs w:val="21"/>
          <w:highlight w:val="none"/>
          <w:lang w:val="en-US" w:eastAsia="zh-CN" w:bidi="ar"/>
        </w:rPr>
      </w:pPr>
      <w:r>
        <w:rPr>
          <w:rFonts w:hint="eastAsia" w:ascii="黑体" w:hAnsi="黑体" w:eastAsia="黑体" w:cs="黑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一般要求：</w:t>
      </w:r>
      <w:r>
        <w:rPr>
          <w:rFonts w:hint="eastAsia" w:ascii="黑体" w:hAnsi="黑体" w:eastAsia="黑体" w:cs="黑体"/>
          <w:snapToGrid w:val="0"/>
          <w:color w:val="auto"/>
          <w:kern w:val="0"/>
          <w:sz w:val="21"/>
          <w:szCs w:val="21"/>
          <w:highlight w:val="none"/>
          <w:lang w:val="en-US" w:eastAsia="zh-CN" w:bidi="ar"/>
        </w:rPr>
        <w:t xml:space="preserve"> </w:t>
      </w:r>
    </w:p>
    <w:p w14:paraId="14D820B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color w:val="auto"/>
          <w:sz w:val="21"/>
          <w:szCs w:val="21"/>
          <w:highlight w:val="none"/>
        </w:rPr>
      </w:pPr>
      <w:r>
        <w:rPr>
          <w:rFonts w:hint="eastAsia" w:ascii="宋体" w:hAnsi="宋体" w:cs="宋体"/>
          <w:snapToGrid w:val="0"/>
          <w:color w:val="auto"/>
          <w:kern w:val="0"/>
          <w:sz w:val="21"/>
          <w:szCs w:val="21"/>
          <w:lang w:val="en-US" w:eastAsia="zh-CN" w:bidi="ar"/>
        </w:rPr>
        <w:t>a)</w:t>
      </w:r>
      <w:r>
        <w:rPr>
          <w:rFonts w:hint="eastAsia" w:ascii="宋体" w:hAnsi="宋体" w:cs="宋体"/>
          <w:color w:val="auto"/>
          <w:spacing w:val="11"/>
          <w:sz w:val="21"/>
          <w:szCs w:val="21"/>
          <w:highlight w:val="none"/>
          <w:lang w:val="en-US" w:eastAsia="zh-CN"/>
        </w:rPr>
        <w:t xml:space="preserve">  </w:t>
      </w:r>
      <w:r>
        <w:rPr>
          <w:rFonts w:hint="eastAsia" w:ascii="宋体" w:hAnsi="宋体" w:eastAsia="宋体" w:cs="宋体"/>
          <w:snapToGrid w:val="0"/>
          <w:color w:val="auto"/>
          <w:kern w:val="0"/>
          <w:sz w:val="21"/>
          <w:szCs w:val="21"/>
          <w:highlight w:val="none"/>
          <w:lang w:val="en-US" w:eastAsia="zh-CN" w:bidi="ar"/>
        </w:rPr>
        <w:t xml:space="preserve">绝缘电阻测量应在停电的情况下进行； </w:t>
      </w:r>
    </w:p>
    <w:p w14:paraId="6C3873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color w:val="auto"/>
          <w:sz w:val="21"/>
          <w:szCs w:val="21"/>
          <w:highlight w:val="none"/>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测量馈电线路的绝缘电阻时，应将低压断路器、用电设备、电器和仪表等断开； </w:t>
      </w:r>
    </w:p>
    <w:p w14:paraId="599B9E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color w:val="auto"/>
          <w:sz w:val="21"/>
          <w:szCs w:val="21"/>
          <w:highlight w:val="none"/>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测量绝缘电阻时，不能承受测试电压的设备或元件应等电位处理或断开； </w:t>
      </w:r>
    </w:p>
    <w:p w14:paraId="796296AB">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lang w:val="en-US" w:eastAsia="zh-CN" w:bidi="ar"/>
        </w:rPr>
        <w:t>d)</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绝缘电阻，应使用60s测量时间的绝缘电阻。</w:t>
      </w:r>
      <w:r>
        <w:rPr>
          <w:rFonts w:hint="eastAsia" w:ascii="宋体" w:hAnsi="宋体" w:eastAsia="宋体" w:cs="宋体"/>
          <w:snapToGrid w:val="0"/>
          <w:color w:val="auto"/>
          <w:kern w:val="0"/>
          <w:sz w:val="21"/>
          <w:szCs w:val="21"/>
          <w:highlight w:val="none"/>
          <w:lang w:val="en-US" w:eastAsia="zh-CN" w:bidi="ar"/>
        </w:rPr>
        <w:t xml:space="preserve"> </w:t>
      </w:r>
    </w:p>
    <w:p w14:paraId="0A853662">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highlight w:val="none"/>
          <w:lang w:val="en-US" w:eastAsia="zh-CN"/>
        </w:rPr>
      </w:pPr>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.2.</w:t>
      </w:r>
      <w:r>
        <w:rPr>
          <w:rFonts w:hint="eastAsia" w:hAnsi="黑体" w:cs="黑体"/>
          <w:snapToGrid w:val="0"/>
          <w:color w:val="auto"/>
          <w:spacing w:val="8"/>
          <w:kern w:val="0"/>
          <w:sz w:val="21"/>
          <w:szCs w:val="21"/>
          <w:highlight w:val="none"/>
          <w:lang w:val="en-US" w:eastAsia="zh-CN"/>
        </w:rPr>
        <w:t>2</w:t>
      </w:r>
      <w:r>
        <w:rPr>
          <w:rFonts w:hint="eastAsia" w:ascii="黑体" w:hAnsi="黑体" w:eastAsia="黑体" w:cs="黑体"/>
          <w:snapToGrid w:val="0"/>
          <w:color w:val="auto"/>
          <w:spacing w:val="8"/>
          <w:kern w:val="0"/>
          <w:sz w:val="21"/>
          <w:szCs w:val="21"/>
          <w:highlight w:val="none"/>
          <w:lang w:val="en-US" w:eastAsia="zh-CN"/>
        </w:rPr>
        <w:t xml:space="preserve"> 隐患判定 </w:t>
      </w:r>
    </w:p>
    <w:p w14:paraId="0D1B703A">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firstLine="420" w:firstLineChars="200"/>
        <w:textAlignment w:val="baseline"/>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当检测结果不符合标准有关条款要求时，可判断存在安全隐患。</w:t>
      </w:r>
    </w:p>
    <w:p w14:paraId="7E38C815">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3"/>
        <w:rPr>
          <w:rFonts w:hint="eastAsia" w:ascii="黑体" w:hAnsi="黑体" w:eastAsia="黑体" w:cs="黑体"/>
          <w:snapToGrid w:val="0"/>
          <w:color w:val="auto"/>
          <w:spacing w:val="8"/>
          <w:kern w:val="0"/>
          <w:sz w:val="21"/>
          <w:szCs w:val="21"/>
          <w:highlight w:val="none"/>
          <w:lang w:val="en-US" w:eastAsia="zh-CN"/>
        </w:rPr>
      </w:pPr>
      <w:bookmarkStart w:id="458" w:name="_Toc1053"/>
      <w:bookmarkStart w:id="459" w:name="_Toc19130"/>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.3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接地电阻检测</w:t>
      </w:r>
      <w:bookmarkEnd w:id="458"/>
      <w:bookmarkEnd w:id="459"/>
    </w:p>
    <w:p w14:paraId="07A8C64E">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highlight w:val="none"/>
          <w:lang w:val="en-US" w:eastAsia="zh-CN"/>
        </w:rPr>
      </w:pPr>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.3.1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 xml:space="preserve">测试方法 </w:t>
      </w:r>
    </w:p>
    <w:p w14:paraId="30BBC1C6">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420" w:firstLineChars="200"/>
        <w:jc w:val="left"/>
        <w:textAlignment w:val="baseline"/>
        <w:rPr>
          <w:rFonts w:hint="eastAsia" w:ascii="宋体" w:hAnsi="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lang w:val="en-US" w:eastAsia="zh-CN" w:bidi="ar"/>
        </w:rPr>
        <w:t>a)</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接地电阻宜采用两辅助接地极的方法进行检测。当TN系统内并联有大量重复接地，可使用</w:t>
      </w:r>
      <w:r>
        <w:rPr>
          <w:rFonts w:hint="eastAsia" w:ascii="宋体" w:hAnsi="宋体" w:cs="宋体"/>
          <w:snapToGrid w:val="0"/>
          <w:color w:val="auto"/>
          <w:kern w:val="0"/>
          <w:sz w:val="21"/>
          <w:szCs w:val="21"/>
          <w:highlight w:val="none"/>
          <w:lang w:val="en-US" w:eastAsia="zh-CN" w:bidi="ar"/>
        </w:rPr>
        <w:t>　</w:t>
      </w:r>
    </w:p>
    <w:p w14:paraId="525C27E9">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420" w:firstLineChars="200"/>
        <w:jc w:val="left"/>
        <w:textAlignment w:val="baseline"/>
        <w:rPr>
          <w:color w:val="auto"/>
          <w:sz w:val="21"/>
          <w:szCs w:val="21"/>
          <w:highlight w:val="none"/>
        </w:rPr>
      </w:pPr>
      <w:r>
        <w:rPr>
          <w:rFonts w:hint="eastAsia" w:ascii="宋体" w:hAnsi="宋体" w:cs="宋体"/>
          <w:snapToGrid w:val="0"/>
          <w:color w:val="auto"/>
          <w:kern w:val="0"/>
          <w:sz w:val="21"/>
          <w:szCs w:val="21"/>
          <w:highlight w:val="none"/>
          <w:lang w:val="en-US" w:eastAsia="zh-CN" w:bidi="ar"/>
        </w:rPr>
        <w:t>　　</w:t>
      </w:r>
      <w:r>
        <w:rPr>
          <w:rFonts w:hint="eastAsia" w:ascii="宋体" w:hAnsi="宋体" w:eastAsia="宋体" w:cs="宋体"/>
          <w:snapToGrid w:val="0"/>
          <w:color w:val="auto"/>
          <w:kern w:val="0"/>
          <w:sz w:val="21"/>
          <w:szCs w:val="21"/>
          <w:highlight w:val="none"/>
          <w:lang w:val="en-US" w:eastAsia="zh-CN" w:bidi="ar"/>
        </w:rPr>
        <w:t xml:space="preserve">钳式接地电阻检测仪进行接地电阻的测量。 </w:t>
      </w:r>
    </w:p>
    <w:p w14:paraId="5C5FE0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color w:val="auto"/>
          <w:sz w:val="21"/>
          <w:szCs w:val="21"/>
          <w:highlight w:val="none"/>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测量总等电位连接、辅助等电位连接在内的保护导体的连续性。 </w:t>
      </w:r>
    </w:p>
    <w:p w14:paraId="56ACBAE3">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highlight w:val="none"/>
          <w:lang w:val="en-US" w:eastAsia="zh-CN"/>
        </w:rPr>
      </w:pPr>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.3.2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 xml:space="preserve">隐患判定 </w:t>
      </w:r>
    </w:p>
    <w:p w14:paraId="45C397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b/>
          <w:bCs/>
          <w:color w:val="auto"/>
          <w:spacing w:val="11"/>
          <w:sz w:val="21"/>
          <w:szCs w:val="21"/>
          <w:highlight w:val="none"/>
          <w:lang w:val="en-US" w:eastAsia="zh-CN"/>
        </w:rPr>
      </w:pPr>
      <w:r>
        <w:rPr>
          <w:rFonts w:hint="eastAsia" w:ascii="宋体" w:hAnsi="宋体" w:eastAsia="宋体" w:cs="宋体"/>
          <w:color w:val="auto"/>
          <w:kern w:val="0"/>
          <w:sz w:val="21"/>
          <w:szCs w:val="21"/>
          <w:lang w:val="en-US" w:eastAsia="zh-CN" w:bidi="ar"/>
        </w:rPr>
        <w:t>当检测结果不符合标准有关条款要求时，可判断存在安全隐患。</w:t>
      </w:r>
      <w:r>
        <w:rPr>
          <w:rFonts w:hint="eastAsia" w:ascii="宋体" w:hAnsi="宋体" w:eastAsia="宋体" w:cs="宋体"/>
          <w:snapToGrid w:val="0"/>
          <w:color w:val="auto"/>
          <w:kern w:val="0"/>
          <w:sz w:val="21"/>
          <w:szCs w:val="21"/>
          <w:highlight w:val="none"/>
          <w:lang w:val="en-US" w:eastAsia="zh-CN" w:bidi="ar"/>
        </w:rPr>
        <w:t xml:space="preserve"> </w:t>
      </w:r>
    </w:p>
    <w:p w14:paraId="7651849F">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3"/>
        <w:rPr>
          <w:rFonts w:hint="eastAsia" w:ascii="黑体" w:hAnsi="黑体" w:eastAsia="黑体" w:cs="黑体"/>
          <w:snapToGrid w:val="0"/>
          <w:color w:val="auto"/>
          <w:spacing w:val="8"/>
          <w:kern w:val="0"/>
          <w:sz w:val="21"/>
          <w:szCs w:val="21"/>
          <w:highlight w:val="none"/>
          <w:lang w:val="en-US" w:eastAsia="zh-CN"/>
        </w:rPr>
      </w:pPr>
      <w:bookmarkStart w:id="460" w:name="_Toc2083"/>
      <w:bookmarkStart w:id="461" w:name="_Toc7471"/>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.4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电压、电流测量</w:t>
      </w:r>
      <w:bookmarkEnd w:id="460"/>
      <w:bookmarkEnd w:id="461"/>
    </w:p>
    <w:p w14:paraId="5E757DC0">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highlight w:val="none"/>
          <w:lang w:val="en-US" w:eastAsia="zh-CN"/>
        </w:rPr>
      </w:pPr>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.4.1 </w:t>
      </w:r>
      <w:r>
        <w:rPr>
          <w:rFonts w:hint="eastAsia" w:hAnsi="黑体" w:cs="黑体"/>
          <w:snapToGrid w:val="0"/>
          <w:color w:val="auto"/>
          <w:spacing w:val="8"/>
          <w:kern w:val="0"/>
          <w:sz w:val="21"/>
          <w:szCs w:val="21"/>
          <w:highlight w:val="none"/>
          <w:lang w:val="en-US" w:eastAsia="zh-CN"/>
        </w:rPr>
        <w:t xml:space="preserve"> 测试</w:t>
      </w:r>
      <w:r>
        <w:rPr>
          <w:rFonts w:hint="eastAsia" w:ascii="黑体" w:hAnsi="黑体" w:eastAsia="黑体" w:cs="黑体"/>
          <w:snapToGrid w:val="0"/>
          <w:color w:val="auto"/>
          <w:spacing w:val="8"/>
          <w:kern w:val="0"/>
          <w:sz w:val="21"/>
          <w:szCs w:val="21"/>
          <w:highlight w:val="none"/>
          <w:lang w:val="en-US" w:eastAsia="zh-CN"/>
        </w:rPr>
        <w:t xml:space="preserve">方法 </w:t>
      </w:r>
    </w:p>
    <w:p w14:paraId="5E5B8D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lang w:val="en-US" w:eastAsia="zh-CN" w:bidi="ar"/>
        </w:rPr>
        <w:t xml:space="preserve">a)  </w:t>
      </w:r>
      <w:r>
        <w:rPr>
          <w:rFonts w:hint="eastAsia" w:ascii="宋体" w:hAnsi="宋体" w:eastAsia="宋体" w:cs="宋体"/>
          <w:snapToGrid w:val="0"/>
          <w:color w:val="auto"/>
          <w:kern w:val="0"/>
          <w:sz w:val="21"/>
          <w:szCs w:val="21"/>
          <w:highlight w:val="none"/>
          <w:lang w:val="en-US" w:eastAsia="zh-CN" w:bidi="ar"/>
        </w:rPr>
        <w:t>电压电流有效值测量：对非线性负载比重比较大的低压配电线路，应使用真有效值表测量其</w:t>
      </w:r>
      <w:r>
        <w:rPr>
          <w:rFonts w:hint="eastAsia" w:ascii="宋体" w:hAnsi="宋体" w:cs="宋体"/>
          <w:snapToGrid w:val="0"/>
          <w:color w:val="auto"/>
          <w:kern w:val="0"/>
          <w:sz w:val="21"/>
          <w:szCs w:val="21"/>
          <w:highlight w:val="none"/>
          <w:lang w:val="en-US" w:eastAsia="zh-CN" w:bidi="ar"/>
        </w:rPr>
        <w:t>　　</w:t>
      </w:r>
    </w:p>
    <w:p w14:paraId="0E2EAC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color w:val="auto"/>
          <w:sz w:val="21"/>
          <w:szCs w:val="21"/>
          <w:highlight w:val="none"/>
        </w:rPr>
      </w:pPr>
      <w:r>
        <w:rPr>
          <w:rFonts w:hint="eastAsia" w:ascii="宋体" w:hAnsi="宋体" w:cs="宋体"/>
          <w:snapToGrid w:val="0"/>
          <w:color w:val="auto"/>
          <w:kern w:val="0"/>
          <w:sz w:val="21"/>
          <w:szCs w:val="21"/>
          <w:highlight w:val="none"/>
          <w:lang w:val="en-US" w:eastAsia="zh-CN" w:bidi="ar"/>
        </w:rPr>
        <w:t>　　</w:t>
      </w:r>
      <w:r>
        <w:rPr>
          <w:rFonts w:hint="eastAsia" w:ascii="宋体" w:hAnsi="宋体" w:eastAsia="宋体" w:cs="宋体"/>
          <w:snapToGrid w:val="0"/>
          <w:color w:val="auto"/>
          <w:kern w:val="0"/>
          <w:sz w:val="21"/>
          <w:szCs w:val="21"/>
          <w:highlight w:val="none"/>
          <w:lang w:val="en-US" w:eastAsia="zh-CN" w:bidi="ar"/>
        </w:rPr>
        <w:t xml:space="preserve">电压、电流值； </w:t>
      </w:r>
    </w:p>
    <w:p w14:paraId="1CC0C7B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color w:val="auto"/>
          <w:sz w:val="21"/>
          <w:szCs w:val="21"/>
          <w:highlight w:val="none"/>
        </w:rPr>
      </w:pPr>
      <w:r>
        <w:rPr>
          <w:rFonts w:hint="eastAsia" w:ascii="宋体" w:hAnsi="宋体" w:cs="宋体"/>
          <w:snapToGrid w:val="0"/>
          <w:color w:val="auto"/>
          <w:kern w:val="0"/>
          <w:sz w:val="21"/>
          <w:szCs w:val="21"/>
          <w:lang w:val="en-US" w:eastAsia="zh-CN" w:bidi="ar"/>
        </w:rPr>
        <w:t>b)</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谐波分量测量：使用谐波分析仪测量各次电压电流谐波成分存在的情况； </w:t>
      </w:r>
    </w:p>
    <w:p w14:paraId="79EB95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lang w:val="en-US" w:eastAsia="zh-CN" w:bidi="ar"/>
        </w:rPr>
        <w:t>c)</w:t>
      </w:r>
      <w:r>
        <w:rPr>
          <w:rFonts w:hint="eastAsia" w:ascii="宋体" w:hAnsi="宋体" w:eastAsia="宋体" w:cs="宋体"/>
          <w:snapToGrid w:val="0"/>
          <w:color w:val="auto"/>
          <w:kern w:val="0"/>
          <w:sz w:val="21"/>
          <w:szCs w:val="21"/>
          <w:highlight w:val="none"/>
          <w:lang w:val="en-US" w:eastAsia="zh-CN" w:bidi="ar"/>
        </w:rPr>
        <w:t xml:space="preserve"> </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中性导体过载电流测量：中性导体电流是由三相不平衡负载电流和非线性负载电流的三次及</w:t>
      </w:r>
      <w:r>
        <w:rPr>
          <w:rFonts w:hint="eastAsia" w:ascii="宋体" w:hAnsi="宋体" w:cs="宋体"/>
          <w:snapToGrid w:val="0"/>
          <w:color w:val="auto"/>
          <w:kern w:val="0"/>
          <w:sz w:val="21"/>
          <w:szCs w:val="21"/>
          <w:highlight w:val="none"/>
          <w:lang w:val="en-US" w:eastAsia="zh-CN" w:bidi="ar"/>
        </w:rPr>
        <w:t>　</w:t>
      </w:r>
    </w:p>
    <w:p w14:paraId="5A7144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highlight w:val="none"/>
          <w:lang w:val="en-US" w:eastAsia="zh-CN" w:bidi="ar"/>
        </w:rPr>
        <w:t>　　</w:t>
      </w:r>
      <w:r>
        <w:rPr>
          <w:rFonts w:hint="eastAsia" w:ascii="宋体" w:hAnsi="宋体" w:eastAsia="宋体" w:cs="宋体"/>
          <w:snapToGrid w:val="0"/>
          <w:color w:val="auto"/>
          <w:kern w:val="0"/>
          <w:sz w:val="21"/>
          <w:szCs w:val="21"/>
          <w:highlight w:val="none"/>
          <w:lang w:val="en-US" w:eastAsia="zh-CN" w:bidi="ar"/>
        </w:rPr>
        <w:t>其奇次倍的谐波电流两部分组成。当中性导体截面与相线截面相同时，中性导体电流真有效值</w:t>
      </w:r>
      <w:r>
        <w:rPr>
          <w:rFonts w:hint="eastAsia" w:ascii="宋体" w:hAnsi="宋体" w:cs="宋体"/>
          <w:snapToGrid w:val="0"/>
          <w:color w:val="auto"/>
          <w:kern w:val="0"/>
          <w:sz w:val="21"/>
          <w:szCs w:val="21"/>
          <w:highlight w:val="none"/>
          <w:lang w:val="en-US" w:eastAsia="zh-CN" w:bidi="ar"/>
        </w:rPr>
        <w:t>　</w:t>
      </w:r>
    </w:p>
    <w:p w14:paraId="5E31AE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highlight w:val="none"/>
          <w:lang w:val="en-US" w:eastAsia="zh-CN" w:bidi="ar"/>
        </w:rPr>
        <w:t>　　</w:t>
      </w:r>
      <w:r>
        <w:rPr>
          <w:rFonts w:hint="eastAsia" w:ascii="宋体" w:hAnsi="宋体" w:eastAsia="宋体" w:cs="宋体"/>
          <w:snapToGrid w:val="0"/>
          <w:color w:val="auto"/>
          <w:kern w:val="0"/>
          <w:sz w:val="21"/>
          <w:szCs w:val="21"/>
          <w:highlight w:val="none"/>
          <w:lang w:val="en-US" w:eastAsia="zh-CN" w:bidi="ar"/>
        </w:rPr>
        <w:t>不应超过相线电流；当中性导体截面为相线截面两倍时，中性导体电流真有效值不应超过相线</w:t>
      </w:r>
      <w:r>
        <w:rPr>
          <w:rFonts w:hint="eastAsia" w:ascii="宋体" w:hAnsi="宋体" w:cs="宋体"/>
          <w:snapToGrid w:val="0"/>
          <w:color w:val="auto"/>
          <w:kern w:val="0"/>
          <w:sz w:val="21"/>
          <w:szCs w:val="21"/>
          <w:highlight w:val="none"/>
          <w:lang w:val="en-US" w:eastAsia="zh-CN" w:bidi="ar"/>
        </w:rPr>
        <w:t>　</w:t>
      </w:r>
    </w:p>
    <w:p w14:paraId="453FC9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color w:val="auto"/>
          <w:sz w:val="21"/>
          <w:szCs w:val="21"/>
          <w:highlight w:val="none"/>
        </w:rPr>
      </w:pPr>
      <w:r>
        <w:rPr>
          <w:rFonts w:hint="eastAsia" w:ascii="宋体" w:hAnsi="宋体" w:cs="宋体"/>
          <w:snapToGrid w:val="0"/>
          <w:color w:val="auto"/>
          <w:kern w:val="0"/>
          <w:sz w:val="21"/>
          <w:szCs w:val="21"/>
          <w:highlight w:val="none"/>
          <w:lang w:val="en-US" w:eastAsia="zh-CN" w:bidi="ar"/>
        </w:rPr>
        <w:t>　　</w:t>
      </w:r>
      <w:r>
        <w:rPr>
          <w:rFonts w:hint="eastAsia" w:ascii="宋体" w:hAnsi="宋体" w:eastAsia="宋体" w:cs="宋体"/>
          <w:snapToGrid w:val="0"/>
          <w:color w:val="auto"/>
          <w:kern w:val="0"/>
          <w:sz w:val="21"/>
          <w:szCs w:val="21"/>
          <w:highlight w:val="none"/>
          <w:lang w:val="en-US" w:eastAsia="zh-CN" w:bidi="ar"/>
        </w:rPr>
        <w:t xml:space="preserve">电流的两倍。 </w:t>
      </w:r>
    </w:p>
    <w:p w14:paraId="572FCDD1">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highlight w:val="none"/>
          <w:lang w:val="en-US" w:eastAsia="zh-CN"/>
        </w:rPr>
      </w:pPr>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.4.2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 xml:space="preserve">隐患判定 </w:t>
      </w:r>
    </w:p>
    <w:p w14:paraId="56BCFA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b/>
          <w:bCs/>
          <w:color w:val="auto"/>
          <w:spacing w:val="11"/>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
        </w:rPr>
        <w:t>当检测结果不符合标准有关条款要求时，可判断存在安全隐患。</w:t>
      </w:r>
    </w:p>
    <w:p w14:paraId="0644D578">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3"/>
        <w:rPr>
          <w:rFonts w:hint="eastAsia" w:ascii="黑体" w:hAnsi="黑体" w:eastAsia="黑体" w:cs="黑体"/>
          <w:snapToGrid w:val="0"/>
          <w:color w:val="auto"/>
          <w:spacing w:val="8"/>
          <w:kern w:val="0"/>
          <w:sz w:val="21"/>
          <w:szCs w:val="21"/>
          <w:highlight w:val="none"/>
          <w:lang w:val="en-US" w:eastAsia="zh-CN"/>
        </w:rPr>
      </w:pPr>
      <w:bookmarkStart w:id="462" w:name="_Toc26826"/>
      <w:bookmarkStart w:id="463" w:name="_Toc3147"/>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.5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火花和电弧放电检测</w:t>
      </w:r>
      <w:bookmarkEnd w:id="462"/>
      <w:bookmarkEnd w:id="463"/>
    </w:p>
    <w:p w14:paraId="499DC56D">
      <w:pPr>
        <w:pStyle w:val="258"/>
        <w:keepNext w:val="0"/>
        <w:keepLines w:val="0"/>
        <w:pageBreakBefore w:val="0"/>
        <w:widowControl/>
        <w:wordWrap/>
        <w:overflowPunct/>
        <w:topLinePunct w:val="0"/>
        <w:bidi w:val="0"/>
        <w:spacing w:line="240" w:lineRule="auto"/>
        <w:ind w:left="0" w:leftChars="0" w:firstLine="0" w:firstLineChars="0"/>
        <w:rPr>
          <w:rFonts w:hint="eastAsia" w:ascii="黑体" w:hAnsi="黑体" w:eastAsia="黑体" w:cs="黑体"/>
          <w:snapToGrid w:val="0"/>
          <w:color w:val="auto"/>
          <w:spacing w:val="8"/>
          <w:kern w:val="0"/>
          <w:sz w:val="21"/>
          <w:szCs w:val="21"/>
          <w:highlight w:val="none"/>
          <w:lang w:val="en-US" w:eastAsia="zh-CN"/>
        </w:rPr>
      </w:pPr>
      <w:r>
        <w:rPr>
          <w:rFonts w:hint="eastAsia" w:ascii="黑体" w:hAnsi="黑体" w:eastAsia="黑体" w:cs="黑体"/>
          <w:snapToGrid w:val="0"/>
          <w:color w:val="auto"/>
          <w:spacing w:val="8"/>
          <w:kern w:val="0"/>
          <w:sz w:val="21"/>
          <w:szCs w:val="21"/>
          <w:highlight w:val="none"/>
          <w:lang w:val="en-US" w:eastAsia="zh-CN"/>
        </w:rPr>
        <w:t>7.1.5.1  测试方法</w:t>
      </w:r>
    </w:p>
    <w:p w14:paraId="5207AFD9">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highlight w:val="none"/>
          <w:lang w:val="en-US" w:eastAsia="zh-CN"/>
        </w:rPr>
      </w:pPr>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.5.1</w:t>
      </w:r>
      <w:r>
        <w:rPr>
          <w:rFonts w:hint="eastAsia" w:hAnsi="黑体" w:cs="黑体"/>
          <w:snapToGrid w:val="0"/>
          <w:color w:val="auto"/>
          <w:spacing w:val="8"/>
          <w:kern w:val="0"/>
          <w:sz w:val="21"/>
          <w:szCs w:val="21"/>
          <w:highlight w:val="none"/>
          <w:lang w:val="en-US" w:eastAsia="zh-CN"/>
        </w:rPr>
        <w:t>.1</w:t>
      </w:r>
      <w:r>
        <w:rPr>
          <w:rFonts w:hint="eastAsia" w:ascii="黑体" w:hAnsi="黑体" w:eastAsia="黑体" w:cs="黑体"/>
          <w:snapToGrid w:val="0"/>
          <w:color w:val="auto"/>
          <w:spacing w:val="8"/>
          <w:kern w:val="0"/>
          <w:sz w:val="21"/>
          <w:szCs w:val="21"/>
          <w:highlight w:val="none"/>
          <w:lang w:val="en-US" w:eastAsia="zh-CN"/>
        </w:rPr>
        <w:t xml:space="preserve">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 xml:space="preserve">超声波探测法 </w:t>
      </w:r>
    </w:p>
    <w:p w14:paraId="37AB18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 xml:space="preserve">使用超声波探测仪检测电气装置是否有火花放电现象。 </w:t>
      </w:r>
    </w:p>
    <w:p w14:paraId="578380E0">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highlight w:val="none"/>
          <w:lang w:val="en-US" w:eastAsia="zh-CN"/>
        </w:rPr>
      </w:pPr>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w:t>
      </w:r>
      <w:r>
        <w:rPr>
          <w:rFonts w:hint="eastAsia" w:hAnsi="黑体" w:cs="黑体"/>
          <w:snapToGrid w:val="0"/>
          <w:color w:val="auto"/>
          <w:spacing w:val="8"/>
          <w:kern w:val="0"/>
          <w:sz w:val="21"/>
          <w:szCs w:val="21"/>
          <w:highlight w:val="none"/>
          <w:lang w:val="en-US" w:eastAsia="zh-CN"/>
        </w:rPr>
        <w:t>5.1.2</w:t>
      </w:r>
      <w:r>
        <w:rPr>
          <w:rFonts w:hint="eastAsia" w:ascii="黑体" w:hAnsi="黑体" w:eastAsia="黑体" w:cs="黑体"/>
          <w:snapToGrid w:val="0"/>
          <w:color w:val="auto"/>
          <w:spacing w:val="8"/>
          <w:kern w:val="0"/>
          <w:sz w:val="21"/>
          <w:szCs w:val="21"/>
          <w:highlight w:val="none"/>
          <w:lang w:val="en-US" w:eastAsia="zh-CN"/>
        </w:rPr>
        <w:t xml:space="preserve">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 xml:space="preserve">痕迹观察法 </w:t>
      </w:r>
    </w:p>
    <w:p w14:paraId="057194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 xml:space="preserve">利用望远镜或视频显微镜观察是否存在放电痕迹、击穿痕迹和熔融痕迹。 </w:t>
      </w:r>
    </w:p>
    <w:p w14:paraId="6AE57803">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9"/>
        <w:rPr>
          <w:rFonts w:hint="eastAsia" w:ascii="黑体" w:hAnsi="黑体" w:eastAsia="黑体" w:cs="黑体"/>
          <w:snapToGrid w:val="0"/>
          <w:color w:val="auto"/>
          <w:spacing w:val="8"/>
          <w:kern w:val="0"/>
          <w:sz w:val="21"/>
          <w:szCs w:val="21"/>
          <w:highlight w:val="none"/>
          <w:lang w:val="en-US" w:eastAsia="zh-CN"/>
        </w:rPr>
      </w:pPr>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.5.</w:t>
      </w:r>
      <w:r>
        <w:rPr>
          <w:rFonts w:hint="eastAsia" w:hAnsi="黑体" w:cs="黑体"/>
          <w:snapToGrid w:val="0"/>
          <w:color w:val="auto"/>
          <w:spacing w:val="8"/>
          <w:kern w:val="0"/>
          <w:sz w:val="21"/>
          <w:szCs w:val="21"/>
          <w:highlight w:val="none"/>
          <w:lang w:val="en-US" w:eastAsia="zh-CN"/>
        </w:rPr>
        <w:t>2</w:t>
      </w:r>
      <w:r>
        <w:rPr>
          <w:rFonts w:hint="eastAsia" w:ascii="黑体" w:hAnsi="黑体" w:eastAsia="黑体" w:cs="黑体"/>
          <w:snapToGrid w:val="0"/>
          <w:color w:val="auto"/>
          <w:spacing w:val="8"/>
          <w:kern w:val="0"/>
          <w:sz w:val="21"/>
          <w:szCs w:val="21"/>
          <w:highlight w:val="none"/>
          <w:lang w:val="en-US" w:eastAsia="zh-CN"/>
        </w:rPr>
        <w:t xml:space="preserve">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 xml:space="preserve">隐患判定 </w:t>
      </w:r>
    </w:p>
    <w:p w14:paraId="3EA6A6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 xml:space="preserve">当超声波探测仪接收到火花和电弧放电产生的超声波时或观察到放电痕迹时，可判定存在火灾隐 </w:t>
      </w:r>
    </w:p>
    <w:p w14:paraId="449C64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患。</w:t>
      </w:r>
    </w:p>
    <w:p w14:paraId="0C66EDB8">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3"/>
        <w:rPr>
          <w:rFonts w:hint="eastAsia" w:ascii="黑体" w:hAnsi="黑体" w:eastAsia="黑体" w:cs="黑体"/>
          <w:snapToGrid w:val="0"/>
          <w:color w:val="auto"/>
          <w:spacing w:val="8"/>
          <w:kern w:val="0"/>
          <w:sz w:val="21"/>
          <w:szCs w:val="21"/>
          <w:highlight w:val="none"/>
          <w:lang w:val="en-US" w:eastAsia="zh-CN"/>
        </w:rPr>
      </w:pPr>
      <w:bookmarkStart w:id="464" w:name="_Toc29874"/>
      <w:bookmarkStart w:id="465" w:name="_Toc31195"/>
      <w:r>
        <w:rPr>
          <w:rFonts w:hint="eastAsia" w:hAnsi="黑体" w:cs="黑体"/>
          <w:snapToGrid w:val="0"/>
          <w:color w:val="auto"/>
          <w:spacing w:val="8"/>
          <w:kern w:val="0"/>
          <w:sz w:val="21"/>
          <w:szCs w:val="21"/>
          <w:highlight w:val="none"/>
          <w:lang w:val="en-US" w:eastAsia="zh-CN"/>
        </w:rPr>
        <w:t>7.1</w:t>
      </w:r>
      <w:r>
        <w:rPr>
          <w:rFonts w:hint="eastAsia" w:ascii="黑体" w:hAnsi="黑体" w:eastAsia="黑体" w:cs="黑体"/>
          <w:snapToGrid w:val="0"/>
          <w:color w:val="auto"/>
          <w:spacing w:val="8"/>
          <w:kern w:val="0"/>
          <w:sz w:val="21"/>
          <w:szCs w:val="21"/>
          <w:highlight w:val="none"/>
          <w:lang w:val="en-US" w:eastAsia="zh-CN"/>
        </w:rPr>
        <w:t xml:space="preserve">.6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剩余电流有效值检测</w:t>
      </w:r>
      <w:bookmarkEnd w:id="464"/>
      <w:bookmarkEnd w:id="465"/>
    </w:p>
    <w:p w14:paraId="0DCCCAEA">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157" w:beforeLines="50" w:after="157" w:afterLines="50" w:line="240" w:lineRule="auto"/>
        <w:ind w:left="0"/>
        <w:textAlignment w:val="baseline"/>
        <w:rPr>
          <w:rFonts w:hint="default" w:ascii="黑体" w:hAnsi="黑体" w:eastAsia="黑体" w:cs="黑体"/>
          <w:snapToGrid w:val="0"/>
          <w:color w:val="auto"/>
          <w:spacing w:val="8"/>
          <w:kern w:val="0"/>
          <w:sz w:val="21"/>
          <w:szCs w:val="21"/>
          <w:highlight w:val="none"/>
          <w:lang w:val="en-US" w:eastAsia="zh-CN" w:bidi="ar-SA"/>
        </w:rPr>
      </w:pPr>
      <w:r>
        <w:rPr>
          <w:rFonts w:hint="eastAsia" w:ascii="黑体" w:hAnsi="黑体" w:eastAsia="黑体" w:cs="黑体"/>
          <w:snapToGrid w:val="0"/>
          <w:color w:val="auto"/>
          <w:spacing w:val="8"/>
          <w:kern w:val="0"/>
          <w:sz w:val="21"/>
          <w:szCs w:val="21"/>
          <w:highlight w:val="none"/>
          <w:lang w:val="en-US" w:eastAsia="zh-CN" w:bidi="ar-SA"/>
        </w:rPr>
        <w:t>7.1.6.1  测试方法</w:t>
      </w:r>
    </w:p>
    <w:p w14:paraId="74A0AD78">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pacing w:val="11"/>
          <w:sz w:val="21"/>
          <w:szCs w:val="21"/>
          <w:highlight w:val="none"/>
          <w:lang w:val="en-US" w:eastAsia="zh-CN"/>
        </w:rPr>
      </w:pPr>
      <w:r>
        <w:rPr>
          <w:rFonts w:hint="eastAsia" w:ascii="黑体" w:hAnsi="黑体" w:eastAsia="黑体" w:cs="黑体"/>
          <w:snapToGrid w:val="0"/>
          <w:color w:val="auto"/>
          <w:kern w:val="0"/>
          <w:sz w:val="21"/>
          <w:szCs w:val="21"/>
          <w:lang w:val="en-US" w:eastAsia="zh-CN" w:bidi="ar"/>
        </w:rPr>
        <w:t xml:space="preserve">7.1.6.1.1  </w:t>
      </w:r>
      <w:r>
        <w:rPr>
          <w:rFonts w:hint="eastAsia" w:ascii="宋体" w:hAnsi="宋体" w:eastAsia="宋体" w:cs="宋体"/>
          <w:color w:val="auto"/>
          <w:spacing w:val="11"/>
          <w:sz w:val="21"/>
          <w:szCs w:val="21"/>
          <w:highlight w:val="none"/>
          <w:lang w:val="en-US" w:eastAsia="zh-CN"/>
        </w:rPr>
        <w:t>对于低压配电线路绝缘导线的剩余电流保护装置的动作电流，使用剩余电流测试仪测量，根据技术规范规定的剩余电流值，判定存在不安全因素。</w:t>
      </w:r>
    </w:p>
    <w:p w14:paraId="353EEF36">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color w:val="auto"/>
          <w:spacing w:val="11"/>
          <w:sz w:val="21"/>
          <w:szCs w:val="21"/>
          <w:highlight w:val="none"/>
          <w:lang w:val="en-US" w:eastAsia="zh-CN"/>
        </w:rPr>
      </w:pPr>
      <w:r>
        <w:rPr>
          <w:rFonts w:hint="eastAsia" w:ascii="黑体" w:hAnsi="黑体" w:eastAsia="黑体" w:cs="黑体"/>
          <w:snapToGrid w:val="0"/>
          <w:color w:val="auto"/>
          <w:kern w:val="0"/>
          <w:sz w:val="21"/>
          <w:szCs w:val="21"/>
          <w:lang w:val="en-US" w:eastAsia="zh-CN" w:bidi="ar"/>
        </w:rPr>
        <w:t xml:space="preserve">7.1.6.1.2  </w:t>
      </w:r>
      <w:r>
        <w:rPr>
          <w:rFonts w:hint="eastAsia" w:ascii="宋体" w:hAnsi="宋体" w:eastAsia="宋体" w:cs="宋体"/>
          <w:color w:val="auto"/>
          <w:spacing w:val="11"/>
          <w:sz w:val="21"/>
          <w:szCs w:val="21"/>
          <w:highlight w:val="none"/>
          <w:lang w:val="en-US" w:eastAsia="zh-CN"/>
        </w:rPr>
        <w:t>测量剩余电流可以测量单相的相线和中性线、三相的相线和中性线的剩余电流以及电气设备保护地线(PE线)的剩余电流。</w:t>
      </w:r>
    </w:p>
    <w:p w14:paraId="7CEDACE8">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157" w:beforeLines="50" w:after="157" w:afterLines="50" w:line="240" w:lineRule="auto"/>
        <w:ind w:left="0"/>
        <w:textAlignment w:val="baseline"/>
        <w:rPr>
          <w:rFonts w:hint="eastAsia" w:ascii="黑体" w:hAnsi="黑体" w:eastAsia="黑体" w:cs="黑体"/>
          <w:snapToGrid w:val="0"/>
          <w:color w:val="auto"/>
          <w:spacing w:val="8"/>
          <w:kern w:val="0"/>
          <w:sz w:val="21"/>
          <w:szCs w:val="21"/>
          <w:highlight w:val="none"/>
          <w:lang w:val="en-US" w:eastAsia="zh-CN" w:bidi="ar-SA"/>
        </w:rPr>
      </w:pPr>
      <w:r>
        <w:rPr>
          <w:rFonts w:hint="eastAsia" w:ascii="黑体" w:hAnsi="黑体" w:eastAsia="黑体" w:cs="黑体"/>
          <w:snapToGrid w:val="0"/>
          <w:color w:val="auto"/>
          <w:spacing w:val="8"/>
          <w:kern w:val="0"/>
          <w:sz w:val="21"/>
          <w:szCs w:val="21"/>
          <w:highlight w:val="none"/>
          <w:lang w:val="en-US" w:eastAsia="zh-CN" w:bidi="ar-SA"/>
        </w:rPr>
        <w:t>7.1.6.2  隐患判定</w:t>
      </w:r>
    </w:p>
    <w:p w14:paraId="4A44B267">
      <w:pPr>
        <w:keepNext w:val="0"/>
        <w:keepLines w:val="0"/>
        <w:pageBreakBefore w:val="0"/>
        <w:widowControl/>
        <w:tabs>
          <w:tab w:val="right" w:leader="dot" w:pos="9334"/>
        </w:tabs>
        <w:kinsoku w:val="0"/>
        <w:wordWrap/>
        <w:overflowPunct/>
        <w:topLinePunct w:val="0"/>
        <w:autoSpaceDE w:val="0"/>
        <w:autoSpaceDN w:val="0"/>
        <w:bidi w:val="0"/>
        <w:adjustRightInd w:val="0"/>
        <w:snapToGrid w:val="0"/>
        <w:spacing w:before="73" w:line="240" w:lineRule="auto"/>
        <w:ind w:left="0" w:firstLine="420" w:firstLineChars="200"/>
        <w:textAlignment w:val="baseline"/>
        <w:rPr>
          <w:rFonts w:hint="default" w:ascii="宋体" w:hAnsi="宋体" w:eastAsia="宋体" w:cs="宋体"/>
          <w:color w:val="auto"/>
          <w:spacing w:val="11"/>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
        </w:rPr>
        <w:t>当检测结果不符合标准有关条款要求时，可判断存在安全隐患。</w:t>
      </w:r>
    </w:p>
    <w:p w14:paraId="65E04566">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2"/>
        <w:rPr>
          <w:rFonts w:hint="eastAsia" w:ascii="黑体" w:hAnsi="黑体" w:eastAsia="黑体" w:cs="黑体"/>
          <w:snapToGrid w:val="0"/>
          <w:color w:val="auto"/>
          <w:spacing w:val="8"/>
          <w:kern w:val="0"/>
          <w:sz w:val="21"/>
          <w:szCs w:val="21"/>
          <w:highlight w:val="none"/>
          <w:lang w:val="en-US" w:eastAsia="zh-CN"/>
        </w:rPr>
      </w:pPr>
      <w:bookmarkStart w:id="466" w:name="_Toc20362"/>
      <w:bookmarkStart w:id="467" w:name="_Toc5487"/>
      <w:bookmarkStart w:id="468" w:name="_Toc16203"/>
      <w:bookmarkStart w:id="469" w:name="_Toc25811"/>
      <w:bookmarkStart w:id="470" w:name="_Toc18618"/>
      <w:bookmarkStart w:id="471" w:name="_Toc5361"/>
      <w:bookmarkStart w:id="472" w:name="_Toc7686"/>
      <w:bookmarkStart w:id="473" w:name="_Toc6973"/>
      <w:bookmarkStart w:id="474" w:name="_Toc4455"/>
      <w:bookmarkStart w:id="475" w:name="_Toc17624"/>
      <w:bookmarkStart w:id="476" w:name="_Toc7127"/>
      <w:bookmarkStart w:id="477" w:name="_Toc27840"/>
      <w:bookmarkStart w:id="478" w:name="_Toc9694"/>
      <w:bookmarkStart w:id="479" w:name="_Toc24176"/>
      <w:bookmarkStart w:id="480" w:name="_Toc29833"/>
      <w:bookmarkStart w:id="481" w:name="_Toc11323"/>
      <w:bookmarkStart w:id="482" w:name="_Toc579"/>
      <w:bookmarkStart w:id="483" w:name="_Toc29472"/>
      <w:bookmarkStart w:id="484" w:name="_Toc20"/>
      <w:bookmarkStart w:id="485" w:name="_Toc10649"/>
      <w:bookmarkStart w:id="486" w:name="_Toc1925"/>
      <w:bookmarkStart w:id="487" w:name="_Toc18842"/>
      <w:bookmarkStart w:id="488" w:name="_Toc19069"/>
      <w:bookmarkStart w:id="489" w:name="_Toc18860"/>
      <w:bookmarkStart w:id="490" w:name="_Toc21994"/>
      <w:r>
        <w:rPr>
          <w:rFonts w:hint="eastAsia" w:hAnsi="黑体" w:cs="黑体"/>
          <w:snapToGrid w:val="0"/>
          <w:color w:val="auto"/>
          <w:spacing w:val="8"/>
          <w:kern w:val="0"/>
          <w:sz w:val="21"/>
          <w:szCs w:val="21"/>
          <w:highlight w:val="none"/>
          <w:lang w:val="en-US" w:eastAsia="zh-CN"/>
        </w:rPr>
        <w:t>7.2</w:t>
      </w:r>
      <w:r>
        <w:rPr>
          <w:rFonts w:hint="eastAsia" w:ascii="黑体" w:hAnsi="黑体" w:eastAsia="黑体" w:cs="黑体"/>
          <w:snapToGrid w:val="0"/>
          <w:color w:val="auto"/>
          <w:spacing w:val="8"/>
          <w:kern w:val="0"/>
          <w:sz w:val="21"/>
          <w:szCs w:val="21"/>
          <w:highlight w:val="none"/>
          <w:lang w:val="en-US" w:eastAsia="zh-CN"/>
        </w:rPr>
        <w:t xml:space="preserve"> </w:t>
      </w:r>
      <w:r>
        <w:rPr>
          <w:rFonts w:hint="eastAsia" w:hAnsi="黑体" w:cs="黑体"/>
          <w:snapToGrid w:val="0"/>
          <w:color w:val="auto"/>
          <w:spacing w:val="8"/>
          <w:kern w:val="0"/>
          <w:sz w:val="21"/>
          <w:szCs w:val="21"/>
          <w:highlight w:val="none"/>
          <w:lang w:val="en-US" w:eastAsia="zh-CN"/>
        </w:rPr>
        <w:t xml:space="preserve"> </w:t>
      </w:r>
      <w:r>
        <w:rPr>
          <w:rFonts w:hint="eastAsia" w:ascii="黑体" w:hAnsi="黑体" w:eastAsia="黑体" w:cs="黑体"/>
          <w:snapToGrid w:val="0"/>
          <w:color w:val="auto"/>
          <w:spacing w:val="8"/>
          <w:kern w:val="0"/>
          <w:sz w:val="21"/>
          <w:szCs w:val="21"/>
          <w:highlight w:val="none"/>
          <w:lang w:val="en-US" w:eastAsia="zh-CN"/>
        </w:rPr>
        <w:t>判定标准</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7C20F2F3">
      <w:pPr>
        <w:pStyle w:val="261"/>
        <w:keepNext w:val="0"/>
        <w:keepLines w:val="0"/>
        <w:pageBreakBefore w:val="0"/>
        <w:widowControl/>
        <w:numPr>
          <w:ilvl w:val="3"/>
          <w:numId w:val="0"/>
        </w:numPr>
        <w:wordWrap/>
        <w:overflowPunct/>
        <w:topLinePunct w:val="0"/>
        <w:bidi w:val="0"/>
        <w:spacing w:line="240" w:lineRule="auto"/>
        <w:ind w:left="0" w:leftChars="0" w:firstLine="0" w:firstLineChars="0"/>
        <w:outlineLvl w:val="3"/>
        <w:rPr>
          <w:rFonts w:hint="default"/>
          <w:color w:val="auto"/>
          <w:highlight w:val="none"/>
          <w:lang w:val="en-US" w:eastAsia="zh-CN"/>
        </w:rPr>
      </w:pPr>
      <w:bookmarkStart w:id="491" w:name="_Toc15769"/>
      <w:bookmarkStart w:id="492" w:name="_Toc588"/>
      <w:r>
        <w:rPr>
          <w:rFonts w:hint="eastAsia" w:hAnsi="黑体" w:cs="黑体"/>
          <w:snapToGrid w:val="0"/>
          <w:color w:val="auto"/>
          <w:spacing w:val="8"/>
          <w:kern w:val="0"/>
          <w:sz w:val="21"/>
          <w:szCs w:val="21"/>
          <w:highlight w:val="none"/>
          <w:lang w:val="en-US" w:eastAsia="zh-CN"/>
        </w:rPr>
        <w:t>7.2</w:t>
      </w:r>
      <w:r>
        <w:rPr>
          <w:rFonts w:hint="eastAsia"/>
          <w:color w:val="auto"/>
          <w:highlight w:val="none"/>
          <w:lang w:val="en-US" w:eastAsia="zh-CN"/>
        </w:rPr>
        <w:t>.1  单项条款火灾危险等级确定</w:t>
      </w:r>
      <w:bookmarkEnd w:id="491"/>
      <w:bookmarkEnd w:id="492"/>
    </w:p>
    <w:p w14:paraId="15A62DCF">
      <w:pPr>
        <w:keepNext w:val="0"/>
        <w:keepLines w:val="0"/>
        <w:pageBreakBefore w:val="0"/>
        <w:widowControl/>
        <w:tabs>
          <w:tab w:val="right" w:leader="dot" w:pos="9337"/>
        </w:tabs>
        <w:kinsoku w:val="0"/>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pacing w:val="8"/>
          <w:sz w:val="21"/>
          <w:szCs w:val="21"/>
          <w:highlight w:val="none"/>
          <w:lang w:val="en-US" w:eastAsia="zh-CN"/>
        </w:rPr>
      </w:pPr>
      <w:r>
        <w:rPr>
          <w:rFonts w:hint="eastAsia" w:ascii="黑体" w:hAnsi="黑体" w:eastAsia="黑体" w:cs="黑体"/>
          <w:snapToGrid w:val="0"/>
          <w:color w:val="auto"/>
          <w:kern w:val="0"/>
          <w:sz w:val="21"/>
          <w:szCs w:val="21"/>
          <w:lang w:val="en-US" w:eastAsia="zh-CN" w:bidi="ar"/>
        </w:rPr>
        <w:t xml:space="preserve">7.2.1.1  </w:t>
      </w:r>
      <w:r>
        <w:rPr>
          <w:rFonts w:hint="eastAsia" w:ascii="宋体" w:hAnsi="宋体" w:eastAsia="宋体" w:cs="宋体"/>
          <w:color w:val="auto"/>
          <w:spacing w:val="8"/>
          <w:sz w:val="21"/>
          <w:szCs w:val="21"/>
          <w:highlight w:val="none"/>
          <w:lang w:val="en-US" w:eastAsia="zh-CN"/>
        </w:rPr>
        <w:t>检测</w:t>
      </w:r>
      <w:r>
        <w:rPr>
          <w:rFonts w:hint="eastAsia" w:ascii="宋体" w:hAnsi="宋体" w:cs="宋体"/>
          <w:color w:val="auto"/>
          <w:spacing w:val="8"/>
          <w:sz w:val="21"/>
          <w:szCs w:val="21"/>
          <w:highlight w:val="none"/>
          <w:lang w:val="en-US" w:eastAsia="zh-CN"/>
        </w:rPr>
        <w:t>项目按</w:t>
      </w:r>
      <w:r>
        <w:rPr>
          <w:rFonts w:hint="eastAsia" w:ascii="宋体" w:hAnsi="宋体" w:eastAsia="宋体" w:cs="宋体"/>
          <w:color w:val="auto"/>
          <w:spacing w:val="8"/>
          <w:sz w:val="21"/>
          <w:szCs w:val="21"/>
          <w:highlight w:val="none"/>
          <w:lang w:val="en-US" w:eastAsia="zh-CN"/>
        </w:rPr>
        <w:t>其</w:t>
      </w:r>
      <w:r>
        <w:rPr>
          <w:rFonts w:hint="eastAsia" w:ascii="宋体" w:hAnsi="宋体" w:cs="宋体"/>
          <w:color w:val="auto"/>
          <w:spacing w:val="8"/>
          <w:sz w:val="21"/>
          <w:szCs w:val="21"/>
          <w:highlight w:val="none"/>
          <w:lang w:val="en-US" w:eastAsia="zh-CN"/>
        </w:rPr>
        <w:t>电气</w:t>
      </w:r>
      <w:r>
        <w:rPr>
          <w:rFonts w:hint="eastAsia" w:ascii="宋体" w:hAnsi="宋体" w:eastAsia="宋体" w:cs="宋体"/>
          <w:color w:val="auto"/>
          <w:spacing w:val="8"/>
          <w:sz w:val="21"/>
          <w:szCs w:val="21"/>
          <w:highlight w:val="none"/>
          <w:lang w:val="en-US" w:eastAsia="zh-CN"/>
        </w:rPr>
        <w:t>火灾危险</w:t>
      </w:r>
      <w:r>
        <w:rPr>
          <w:rFonts w:hint="eastAsia" w:ascii="宋体" w:hAnsi="宋体" w:cs="宋体"/>
          <w:color w:val="auto"/>
          <w:spacing w:val="8"/>
          <w:sz w:val="21"/>
          <w:szCs w:val="21"/>
          <w:highlight w:val="none"/>
          <w:lang w:val="en-US" w:eastAsia="zh-CN"/>
        </w:rPr>
        <w:t>性</w:t>
      </w:r>
      <w:r>
        <w:rPr>
          <w:rFonts w:hint="eastAsia" w:ascii="宋体" w:hAnsi="宋体" w:eastAsia="宋体" w:cs="宋体"/>
          <w:color w:val="auto"/>
          <w:spacing w:val="8"/>
          <w:sz w:val="21"/>
          <w:szCs w:val="21"/>
          <w:highlight w:val="none"/>
          <w:lang w:val="en-US" w:eastAsia="zh-CN"/>
        </w:rPr>
        <w:t>划分为A、B、C三级。</w:t>
      </w:r>
      <w:r>
        <w:rPr>
          <w:rFonts w:hint="eastAsia"/>
          <w:color w:val="auto"/>
          <w:lang w:val="en-US" w:eastAsia="zh-CN"/>
        </w:rPr>
        <w:t>其中</w:t>
      </w:r>
      <w:r>
        <w:rPr>
          <w:rFonts w:hint="eastAsia" w:ascii="宋体" w:hAnsi="宋体" w:eastAsia="宋体" w:cs="宋体"/>
          <w:color w:val="auto"/>
          <w:lang w:val="en-US" w:eastAsia="zh-CN"/>
        </w:rPr>
        <w:t>A</w:t>
      </w:r>
      <w:r>
        <w:rPr>
          <w:rFonts w:hint="eastAsia"/>
          <w:color w:val="auto"/>
          <w:lang w:val="en-US" w:eastAsia="zh-CN"/>
        </w:rPr>
        <w:t>级项是</w:t>
      </w:r>
      <w:r>
        <w:rPr>
          <w:rFonts w:hint="eastAsia" w:ascii="宋体" w:hAnsi="宋体" w:eastAsia="宋体" w:cs="宋体"/>
          <w:color w:val="auto"/>
          <w:spacing w:val="8"/>
          <w:sz w:val="21"/>
          <w:szCs w:val="21"/>
          <w:highlight w:val="none"/>
          <w:lang w:val="en-US" w:eastAsia="zh-CN"/>
        </w:rPr>
        <w:t>指电气火灾危险性</w:t>
      </w:r>
      <w:r>
        <w:rPr>
          <w:rFonts w:hint="eastAsia" w:hAnsi="宋体" w:cs="宋体"/>
          <w:color w:val="auto"/>
          <w:spacing w:val="8"/>
          <w:sz w:val="21"/>
          <w:szCs w:val="21"/>
          <w:highlight w:val="none"/>
          <w:lang w:val="en-US" w:eastAsia="zh-CN"/>
        </w:rPr>
        <w:t>高</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kern w:val="0"/>
          <w:sz w:val="21"/>
          <w:szCs w:val="21"/>
          <w:lang w:val="en-US" w:eastAsia="zh-CN" w:bidi="ar"/>
        </w:rPr>
        <w:t>若不及时整改可能引发火灾</w:t>
      </w:r>
      <w:r>
        <w:rPr>
          <w:rFonts w:hint="eastAsia"/>
          <w:color w:val="auto"/>
          <w:lang w:val="en-US" w:eastAsia="zh-CN"/>
        </w:rPr>
        <w:t>。</w:t>
      </w:r>
      <w:r>
        <w:rPr>
          <w:rFonts w:hint="eastAsia" w:ascii="宋体" w:hAnsi="宋体" w:eastAsia="宋体" w:cs="宋体"/>
          <w:color w:val="auto"/>
          <w:lang w:val="en-US" w:eastAsia="zh-CN"/>
        </w:rPr>
        <w:t>B</w:t>
      </w:r>
      <w:r>
        <w:rPr>
          <w:rFonts w:hint="eastAsia"/>
          <w:color w:val="auto"/>
          <w:lang w:val="en-US" w:eastAsia="zh-CN"/>
        </w:rPr>
        <w:t>级项是指</w:t>
      </w:r>
      <w:r>
        <w:rPr>
          <w:rFonts w:hint="eastAsia" w:ascii="宋体" w:hAnsi="宋体" w:eastAsia="宋体" w:cs="宋体"/>
          <w:color w:val="auto"/>
          <w:spacing w:val="8"/>
          <w:sz w:val="21"/>
          <w:szCs w:val="21"/>
          <w:highlight w:val="none"/>
          <w:lang w:val="en-US" w:eastAsia="zh-CN"/>
        </w:rPr>
        <w:t>电气火灾危险性</w:t>
      </w:r>
      <w:r>
        <w:rPr>
          <w:rFonts w:hint="eastAsia" w:hAnsi="宋体" w:cs="宋体"/>
          <w:color w:val="auto"/>
          <w:spacing w:val="8"/>
          <w:sz w:val="21"/>
          <w:szCs w:val="21"/>
          <w:highlight w:val="none"/>
          <w:lang w:val="en-US" w:eastAsia="zh-CN"/>
        </w:rPr>
        <w:t>较高</w:t>
      </w:r>
      <w:r>
        <w:rPr>
          <w:rFonts w:hint="eastAsia"/>
          <w:color w:val="auto"/>
          <w:lang w:val="en-US" w:eastAsia="zh-CN"/>
        </w:rPr>
        <w:t>，引发火灾的可能性较大。</w:t>
      </w:r>
      <w:r>
        <w:rPr>
          <w:rFonts w:hint="eastAsia" w:ascii="宋体" w:hAnsi="宋体" w:eastAsia="宋体" w:cs="宋体"/>
          <w:color w:val="auto"/>
          <w:lang w:val="en-US" w:eastAsia="zh-CN"/>
        </w:rPr>
        <w:t>C</w:t>
      </w:r>
      <w:r>
        <w:rPr>
          <w:rFonts w:hint="eastAsia"/>
          <w:color w:val="auto"/>
          <w:lang w:val="en-US" w:eastAsia="zh-CN"/>
        </w:rPr>
        <w:t>类项是指存在一般</w:t>
      </w:r>
      <w:r>
        <w:rPr>
          <w:rFonts w:hint="eastAsia" w:ascii="宋体" w:hAnsi="宋体" w:eastAsia="宋体" w:cs="宋体"/>
          <w:color w:val="auto"/>
          <w:spacing w:val="8"/>
          <w:sz w:val="21"/>
          <w:szCs w:val="21"/>
          <w:highlight w:val="none"/>
          <w:lang w:val="en-US" w:eastAsia="zh-CN"/>
        </w:rPr>
        <w:t>电气</w:t>
      </w:r>
      <w:r>
        <w:rPr>
          <w:rFonts w:hint="eastAsia"/>
          <w:color w:val="auto"/>
          <w:lang w:val="en-US" w:eastAsia="zh-CN"/>
        </w:rPr>
        <w:t>火灾危险，长时间运行可能引发火灾。</w:t>
      </w:r>
      <w:r>
        <w:rPr>
          <w:rFonts w:hint="eastAsia" w:ascii="宋体" w:hAnsi="宋体" w:eastAsia="宋体" w:cs="宋体"/>
          <w:color w:val="auto"/>
          <w:spacing w:val="8"/>
          <w:sz w:val="21"/>
          <w:szCs w:val="21"/>
          <w:highlight w:val="none"/>
          <w:lang w:val="en-US" w:eastAsia="zh-CN"/>
        </w:rPr>
        <w:t xml:space="preserve"> </w:t>
      </w:r>
    </w:p>
    <w:p w14:paraId="3542E20B">
      <w:pPr>
        <w:keepNext w:val="0"/>
        <w:keepLines w:val="0"/>
        <w:pageBreakBefore w:val="0"/>
        <w:widowControl/>
        <w:tabs>
          <w:tab w:val="right" w:leader="dot" w:pos="9337"/>
        </w:tabs>
        <w:kinsoku w:val="0"/>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pacing w:val="8"/>
          <w:sz w:val="21"/>
          <w:szCs w:val="21"/>
          <w:highlight w:val="none"/>
          <w:lang w:val="en-US" w:eastAsia="zh-CN"/>
        </w:rPr>
      </w:pPr>
      <w:r>
        <w:rPr>
          <w:rFonts w:hint="eastAsia" w:ascii="黑体" w:hAnsi="黑体" w:eastAsia="黑体" w:cs="黑体"/>
          <w:snapToGrid w:val="0"/>
          <w:color w:val="auto"/>
          <w:kern w:val="0"/>
          <w:sz w:val="21"/>
          <w:szCs w:val="21"/>
          <w:lang w:val="en-US" w:eastAsia="zh-CN" w:bidi="ar"/>
        </w:rPr>
        <w:t xml:space="preserve">7.2.1.2  </w:t>
      </w:r>
      <w:r>
        <w:rPr>
          <w:rFonts w:hint="eastAsia" w:ascii="宋体" w:hAnsi="宋体" w:cs="宋体"/>
          <w:color w:val="auto"/>
          <w:spacing w:val="8"/>
          <w:sz w:val="21"/>
          <w:szCs w:val="21"/>
          <w:highlight w:val="none"/>
          <w:lang w:val="en-US" w:eastAsia="zh-CN"/>
        </w:rPr>
        <w:t>不符合</w:t>
      </w:r>
      <w:r>
        <w:rPr>
          <w:rFonts w:hint="eastAsia" w:ascii="宋体" w:hAnsi="宋体" w:eastAsia="宋体" w:cs="宋体"/>
          <w:color w:val="auto"/>
          <w:spacing w:val="8"/>
          <w:sz w:val="21"/>
          <w:szCs w:val="21"/>
          <w:highlight w:val="none"/>
          <w:lang w:val="en-US" w:eastAsia="zh-CN"/>
        </w:rPr>
        <w:t>A级</w:t>
      </w:r>
      <w:r>
        <w:rPr>
          <w:rFonts w:hint="eastAsia" w:ascii="宋体" w:hAnsi="宋体" w:cs="宋体"/>
          <w:color w:val="auto"/>
          <w:spacing w:val="8"/>
          <w:sz w:val="21"/>
          <w:szCs w:val="21"/>
          <w:highlight w:val="none"/>
          <w:lang w:val="en-US" w:eastAsia="zh-CN"/>
        </w:rPr>
        <w:t>项</w:t>
      </w:r>
      <w:r>
        <w:rPr>
          <w:rFonts w:hint="eastAsia" w:ascii="宋体" w:hAnsi="宋体" w:eastAsia="宋体" w:cs="宋体"/>
          <w:color w:val="auto"/>
          <w:spacing w:val="8"/>
          <w:sz w:val="21"/>
          <w:szCs w:val="21"/>
          <w:highlight w:val="none"/>
          <w:lang w:val="en-US" w:eastAsia="zh-CN"/>
        </w:rPr>
        <w:t>建议立即整改；</w:t>
      </w:r>
      <w:r>
        <w:rPr>
          <w:rFonts w:hint="eastAsia" w:ascii="宋体" w:hAnsi="宋体" w:cs="宋体"/>
          <w:color w:val="auto"/>
          <w:spacing w:val="8"/>
          <w:sz w:val="21"/>
          <w:szCs w:val="21"/>
          <w:highlight w:val="none"/>
          <w:lang w:val="en-US" w:eastAsia="zh-CN"/>
        </w:rPr>
        <w:t>不符合</w:t>
      </w:r>
      <w:r>
        <w:rPr>
          <w:rFonts w:hint="eastAsia" w:ascii="宋体" w:hAnsi="宋体" w:eastAsia="宋体" w:cs="宋体"/>
          <w:color w:val="auto"/>
          <w:spacing w:val="8"/>
          <w:sz w:val="21"/>
          <w:szCs w:val="21"/>
          <w:highlight w:val="none"/>
          <w:lang w:val="en-US" w:eastAsia="zh-CN"/>
        </w:rPr>
        <w:t>B级</w:t>
      </w:r>
      <w:r>
        <w:rPr>
          <w:rFonts w:hint="eastAsia" w:ascii="宋体" w:hAnsi="宋体" w:cs="宋体"/>
          <w:color w:val="auto"/>
          <w:spacing w:val="8"/>
          <w:sz w:val="21"/>
          <w:szCs w:val="21"/>
          <w:highlight w:val="none"/>
          <w:lang w:val="en-US" w:eastAsia="zh-CN"/>
        </w:rPr>
        <w:t>项</w:t>
      </w:r>
      <w:r>
        <w:rPr>
          <w:rFonts w:hint="eastAsia" w:ascii="宋体" w:hAnsi="宋体" w:eastAsia="宋体" w:cs="宋体"/>
          <w:color w:val="auto"/>
          <w:spacing w:val="8"/>
          <w:sz w:val="21"/>
          <w:szCs w:val="21"/>
          <w:highlight w:val="none"/>
          <w:lang w:val="en-US" w:eastAsia="zh-CN"/>
        </w:rPr>
        <w:t>建议重点监测、及时整改；</w:t>
      </w:r>
      <w:r>
        <w:rPr>
          <w:rFonts w:hint="eastAsia" w:ascii="宋体" w:hAnsi="宋体" w:cs="宋体"/>
          <w:color w:val="auto"/>
          <w:spacing w:val="8"/>
          <w:sz w:val="21"/>
          <w:szCs w:val="21"/>
          <w:highlight w:val="none"/>
          <w:lang w:val="en-US" w:eastAsia="zh-CN"/>
        </w:rPr>
        <w:t>不符合</w:t>
      </w:r>
      <w:r>
        <w:rPr>
          <w:rFonts w:hint="eastAsia" w:ascii="宋体" w:hAnsi="宋体" w:eastAsia="宋体" w:cs="宋体"/>
          <w:color w:val="auto"/>
          <w:spacing w:val="8"/>
          <w:sz w:val="21"/>
          <w:szCs w:val="21"/>
          <w:highlight w:val="none"/>
          <w:lang w:val="en-US" w:eastAsia="zh-CN"/>
        </w:rPr>
        <w:t>C级</w:t>
      </w:r>
      <w:r>
        <w:rPr>
          <w:rFonts w:hint="eastAsia" w:ascii="宋体" w:hAnsi="宋体" w:cs="宋体"/>
          <w:color w:val="auto"/>
          <w:spacing w:val="8"/>
          <w:sz w:val="21"/>
          <w:szCs w:val="21"/>
          <w:highlight w:val="none"/>
          <w:lang w:val="en-US" w:eastAsia="zh-CN"/>
        </w:rPr>
        <w:t>项</w:t>
      </w:r>
      <w:r>
        <w:rPr>
          <w:rFonts w:hint="eastAsia" w:ascii="宋体" w:hAnsi="宋体" w:eastAsia="宋体" w:cs="宋体"/>
          <w:color w:val="auto"/>
          <w:spacing w:val="8"/>
          <w:sz w:val="21"/>
          <w:szCs w:val="21"/>
          <w:highlight w:val="none"/>
          <w:lang w:val="en-US" w:eastAsia="zh-CN"/>
        </w:rPr>
        <w:t xml:space="preserve">建议跟踪监测、适时整改。 </w:t>
      </w:r>
    </w:p>
    <w:p w14:paraId="3AEED840">
      <w:pPr>
        <w:keepNext w:val="0"/>
        <w:keepLines w:val="0"/>
        <w:pageBreakBefore w:val="0"/>
        <w:widowControl/>
        <w:tabs>
          <w:tab w:val="right" w:leader="dot" w:pos="9337"/>
        </w:tabs>
        <w:kinsoku w:val="0"/>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pacing w:val="8"/>
          <w:sz w:val="21"/>
          <w:szCs w:val="21"/>
          <w:highlight w:val="none"/>
          <w:lang w:val="en-US" w:eastAsia="zh-CN"/>
        </w:rPr>
      </w:pPr>
      <w:r>
        <w:rPr>
          <w:rFonts w:hint="eastAsia" w:ascii="黑体" w:hAnsi="黑体" w:eastAsia="黑体" w:cs="黑体"/>
          <w:snapToGrid w:val="0"/>
          <w:color w:val="auto"/>
          <w:kern w:val="0"/>
          <w:sz w:val="21"/>
          <w:szCs w:val="21"/>
          <w:lang w:val="en-US" w:eastAsia="zh-CN" w:bidi="ar"/>
        </w:rPr>
        <w:t xml:space="preserve">7.2.1.3  </w:t>
      </w:r>
      <w:r>
        <w:rPr>
          <w:rFonts w:hint="eastAsia" w:ascii="宋体" w:hAnsi="宋体" w:eastAsia="宋体" w:cs="宋体"/>
          <w:color w:val="auto"/>
          <w:spacing w:val="8"/>
          <w:sz w:val="21"/>
          <w:szCs w:val="21"/>
          <w:highlight w:val="none"/>
          <w:lang w:val="en-US" w:eastAsia="zh-CN"/>
        </w:rPr>
        <w:t>本</w:t>
      </w:r>
      <w:r>
        <w:rPr>
          <w:rFonts w:hint="eastAsia" w:ascii="宋体" w:hAnsi="宋体" w:cs="宋体"/>
          <w:color w:val="auto"/>
          <w:spacing w:val="8"/>
          <w:sz w:val="21"/>
          <w:szCs w:val="21"/>
          <w:highlight w:val="none"/>
          <w:lang w:val="en-US" w:eastAsia="zh-CN"/>
        </w:rPr>
        <w:t>规程检查</w:t>
      </w:r>
      <w:r>
        <w:rPr>
          <w:rFonts w:hint="eastAsia" w:ascii="宋体" w:hAnsi="宋体" w:eastAsia="宋体" w:cs="宋体"/>
          <w:color w:val="auto"/>
          <w:spacing w:val="8"/>
          <w:sz w:val="21"/>
          <w:szCs w:val="21"/>
          <w:highlight w:val="none"/>
          <w:lang w:val="en-US" w:eastAsia="zh-CN"/>
        </w:rPr>
        <w:t>条款的危险等级</w:t>
      </w:r>
      <w:r>
        <w:rPr>
          <w:rFonts w:hint="eastAsia" w:ascii="宋体" w:hAnsi="宋体" w:cs="宋体"/>
          <w:color w:val="auto"/>
          <w:spacing w:val="8"/>
          <w:sz w:val="21"/>
          <w:szCs w:val="21"/>
          <w:highlight w:val="none"/>
          <w:lang w:val="en-US" w:eastAsia="zh-CN"/>
        </w:rPr>
        <w:t>按附录C划分</w:t>
      </w:r>
      <w:r>
        <w:rPr>
          <w:rFonts w:hint="eastAsia" w:ascii="宋体" w:hAnsi="宋体" w:eastAsia="宋体" w:cs="宋体"/>
          <w:color w:val="auto"/>
          <w:spacing w:val="8"/>
          <w:sz w:val="21"/>
          <w:szCs w:val="21"/>
          <w:highlight w:val="none"/>
          <w:lang w:val="en-US" w:eastAsia="zh-CN"/>
        </w:rPr>
        <w:t>。</w:t>
      </w:r>
    </w:p>
    <w:p w14:paraId="4C55E191">
      <w:pPr>
        <w:pStyle w:val="261"/>
        <w:keepNext w:val="0"/>
        <w:keepLines w:val="0"/>
        <w:pageBreakBefore w:val="0"/>
        <w:widowControl/>
        <w:numPr>
          <w:ilvl w:val="3"/>
          <w:numId w:val="0"/>
        </w:numPr>
        <w:kinsoku/>
        <w:wordWrap/>
        <w:overflowPunct/>
        <w:topLinePunct w:val="0"/>
        <w:autoSpaceDE/>
        <w:autoSpaceDN/>
        <w:bidi w:val="0"/>
        <w:adjustRightInd/>
        <w:snapToGrid/>
        <w:spacing w:before="0" w:beforeLines="50" w:after="0" w:afterLines="50" w:line="240" w:lineRule="auto"/>
        <w:ind w:left="0" w:leftChars="0" w:firstLine="0" w:firstLineChars="0"/>
        <w:textAlignment w:val="auto"/>
        <w:outlineLvl w:val="3"/>
        <w:rPr>
          <w:rFonts w:hint="eastAsia" w:ascii="宋体" w:hAnsi="宋体" w:eastAsia="宋体" w:cs="宋体"/>
          <w:color w:val="auto"/>
          <w:spacing w:val="8"/>
          <w:sz w:val="21"/>
          <w:szCs w:val="21"/>
          <w:highlight w:val="none"/>
          <w:lang w:val="en-US" w:eastAsia="zh-CN"/>
        </w:rPr>
      </w:pPr>
      <w:bookmarkStart w:id="493" w:name="_Toc769"/>
      <w:bookmarkStart w:id="494" w:name="_Toc30306"/>
      <w:r>
        <w:rPr>
          <w:rFonts w:hint="eastAsia" w:hAnsi="黑体" w:cs="黑体"/>
          <w:snapToGrid w:val="0"/>
          <w:color w:val="auto"/>
          <w:spacing w:val="8"/>
          <w:kern w:val="0"/>
          <w:sz w:val="21"/>
          <w:szCs w:val="21"/>
          <w:highlight w:val="none"/>
          <w:lang w:val="en-US" w:eastAsia="zh-CN"/>
        </w:rPr>
        <w:t>7.2</w:t>
      </w:r>
      <w:r>
        <w:rPr>
          <w:rFonts w:hint="eastAsia"/>
          <w:color w:val="auto"/>
          <w:highlight w:val="none"/>
          <w:lang w:val="en-US" w:eastAsia="zh-CN"/>
        </w:rPr>
        <w:t>.2  建筑电气被测部分火灾危险等级评定</w:t>
      </w:r>
      <w:bookmarkEnd w:id="493"/>
      <w:bookmarkEnd w:id="494"/>
    </w:p>
    <w:p w14:paraId="721A7369">
      <w:pPr>
        <w:keepNext w:val="0"/>
        <w:keepLines w:val="0"/>
        <w:widowControl/>
        <w:suppressLineNumbers w:val="0"/>
        <w:jc w:val="left"/>
        <w:rPr>
          <w:rFonts w:hint="eastAsia" w:ascii="宋体" w:hAnsi="宋体" w:cs="宋体"/>
          <w:color w:val="auto"/>
          <w:spacing w:val="8"/>
          <w:kern w:val="0"/>
          <w:sz w:val="21"/>
          <w:szCs w:val="21"/>
          <w:highlight w:val="none"/>
          <w:lang w:val="en-US" w:eastAsia="zh-CN" w:bidi="ar-SA"/>
        </w:rPr>
      </w:pPr>
      <w:r>
        <w:rPr>
          <w:rFonts w:hint="eastAsia" w:ascii="黑体" w:hAnsi="黑体" w:eastAsia="黑体" w:cs="黑体"/>
          <w:color w:val="auto"/>
          <w:spacing w:val="8"/>
          <w:sz w:val="21"/>
          <w:szCs w:val="21"/>
          <w:highlight w:val="none"/>
          <w:lang w:val="en-US" w:eastAsia="zh-CN"/>
        </w:rPr>
        <w:t xml:space="preserve">7.2.2.1  </w:t>
      </w:r>
      <w:r>
        <w:rPr>
          <w:rFonts w:hint="eastAsia" w:ascii="宋体" w:hAnsi="宋体" w:eastAsia="宋体" w:cs="宋体"/>
          <w:color w:val="auto"/>
          <w:spacing w:val="8"/>
          <w:kern w:val="0"/>
          <w:sz w:val="21"/>
          <w:szCs w:val="21"/>
          <w:highlight w:val="none"/>
          <w:lang w:val="en-US" w:eastAsia="zh-CN" w:bidi="ar-SA"/>
        </w:rPr>
        <w:t>检测评定按照技术要点项→综合评定的程序进行</w:t>
      </w:r>
      <w:r>
        <w:rPr>
          <w:rFonts w:hint="eastAsia" w:ascii="宋体" w:hAnsi="宋体" w:cs="宋体"/>
          <w:color w:val="auto"/>
          <w:spacing w:val="8"/>
          <w:kern w:val="0"/>
          <w:sz w:val="21"/>
          <w:szCs w:val="21"/>
          <w:highlight w:val="none"/>
          <w:lang w:val="en-US" w:eastAsia="zh-CN" w:bidi="ar-SA"/>
        </w:rPr>
        <w:t>。技术要点项、子项、单项分类见表8。</w:t>
      </w:r>
    </w:p>
    <w:p w14:paraId="6E3FFC45">
      <w:pPr>
        <w:pStyle w:val="301"/>
        <w:bidi w:val="0"/>
        <w:rPr>
          <w:rFonts w:hint="eastAsia" w:ascii="黑体" w:hAnsi="黑体" w:eastAsia="黑体" w:cs="黑体"/>
          <w:color w:val="auto"/>
          <w:spacing w:val="8"/>
          <w:szCs w:val="21"/>
          <w:highlight w:val="none"/>
          <w:lang w:val="en-US" w:eastAsia="zh-CN"/>
        </w:rPr>
      </w:pPr>
      <w:bookmarkStart w:id="495" w:name="_Toc3966"/>
      <w:bookmarkStart w:id="496" w:name="_Toc14542"/>
      <w:bookmarkStart w:id="497" w:name="_Toc8900"/>
      <w:bookmarkStart w:id="498" w:name="_Toc21487"/>
      <w:bookmarkStart w:id="499" w:name="_Toc32127"/>
      <w:bookmarkStart w:id="500" w:name="_Toc170"/>
      <w:bookmarkStart w:id="501" w:name="_Toc27673"/>
      <w:bookmarkStart w:id="502" w:name="_Toc6819"/>
      <w:bookmarkStart w:id="503" w:name="_Toc6537"/>
      <w:bookmarkStart w:id="504" w:name="_Toc28341"/>
      <w:r>
        <w:rPr>
          <w:rFonts w:hint="eastAsia"/>
          <w:color w:val="auto"/>
          <w:lang w:val="en-US" w:eastAsia="zh-CN"/>
        </w:rPr>
        <w:t>技术要点项、子项、单项分类</w:t>
      </w:r>
      <w:bookmarkEnd w:id="495"/>
      <w:bookmarkEnd w:id="496"/>
      <w:bookmarkEnd w:id="497"/>
      <w:bookmarkEnd w:id="498"/>
      <w:bookmarkEnd w:id="499"/>
      <w:bookmarkEnd w:id="500"/>
      <w:bookmarkEnd w:id="501"/>
      <w:bookmarkEnd w:id="502"/>
      <w:bookmarkEnd w:id="503"/>
      <w:bookmarkEnd w:id="504"/>
    </w:p>
    <w:tbl>
      <w:tblPr>
        <w:tblStyle w:val="89"/>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14:paraId="1DC8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2" w:type="dxa"/>
            <w:vAlign w:val="center"/>
          </w:tcPr>
          <w:p w14:paraId="5B9B95EB">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eastAsia="宋体" w:cs="宋体"/>
                <w:color w:val="auto"/>
                <w:spacing w:val="8"/>
                <w:kern w:val="0"/>
                <w:sz w:val="18"/>
                <w:szCs w:val="18"/>
                <w:highlight w:val="none"/>
                <w:vertAlign w:val="baseline"/>
                <w:lang w:val="en-US" w:eastAsia="zh-CN" w:bidi="ar-SA"/>
              </w:rPr>
              <w:t>检测对象</w:t>
            </w:r>
          </w:p>
        </w:tc>
        <w:tc>
          <w:tcPr>
            <w:tcW w:w="2393" w:type="dxa"/>
            <w:vAlign w:val="center"/>
          </w:tcPr>
          <w:p w14:paraId="33B55032">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eastAsia="宋体" w:cs="宋体"/>
                <w:color w:val="auto"/>
                <w:spacing w:val="8"/>
                <w:kern w:val="0"/>
                <w:sz w:val="18"/>
                <w:szCs w:val="18"/>
                <w:highlight w:val="none"/>
                <w:vertAlign w:val="baseline"/>
                <w:lang w:val="en-US" w:eastAsia="zh-CN" w:bidi="ar-SA"/>
              </w:rPr>
              <w:t>技术要点项</w:t>
            </w:r>
          </w:p>
        </w:tc>
        <w:tc>
          <w:tcPr>
            <w:tcW w:w="2393" w:type="dxa"/>
            <w:vAlign w:val="center"/>
          </w:tcPr>
          <w:p w14:paraId="56428416">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eastAsia="宋体" w:cs="宋体"/>
                <w:color w:val="auto"/>
                <w:spacing w:val="8"/>
                <w:kern w:val="0"/>
                <w:sz w:val="18"/>
                <w:szCs w:val="18"/>
                <w:highlight w:val="none"/>
                <w:vertAlign w:val="baseline"/>
                <w:lang w:val="en-US" w:eastAsia="zh-CN" w:bidi="ar-SA"/>
              </w:rPr>
              <w:t>子项</w:t>
            </w:r>
          </w:p>
        </w:tc>
        <w:tc>
          <w:tcPr>
            <w:tcW w:w="2393" w:type="dxa"/>
            <w:vAlign w:val="center"/>
          </w:tcPr>
          <w:p w14:paraId="7C966009">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eastAsia="宋体" w:cs="宋体"/>
                <w:color w:val="auto"/>
                <w:spacing w:val="8"/>
                <w:kern w:val="0"/>
                <w:sz w:val="18"/>
                <w:szCs w:val="18"/>
                <w:highlight w:val="none"/>
                <w:vertAlign w:val="baseline"/>
                <w:lang w:val="en-US" w:eastAsia="zh-CN" w:bidi="ar-SA"/>
              </w:rPr>
              <w:t>单项</w:t>
            </w:r>
          </w:p>
        </w:tc>
      </w:tr>
      <w:tr w14:paraId="17A6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2" w:type="dxa"/>
            <w:vAlign w:val="center"/>
          </w:tcPr>
          <w:p w14:paraId="16C226A5">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eastAsia="宋体" w:cs="宋体"/>
                <w:color w:val="auto"/>
                <w:spacing w:val="8"/>
                <w:kern w:val="0"/>
                <w:sz w:val="18"/>
                <w:szCs w:val="18"/>
                <w:highlight w:val="none"/>
                <w:vertAlign w:val="baseline"/>
                <w:lang w:val="en-US" w:eastAsia="zh-CN" w:bidi="ar-SA"/>
              </w:rPr>
              <w:t>变配电装置</w:t>
            </w:r>
          </w:p>
        </w:tc>
        <w:tc>
          <w:tcPr>
            <w:tcW w:w="2393" w:type="dxa"/>
            <w:vAlign w:val="center"/>
          </w:tcPr>
          <w:p w14:paraId="013BCA10">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.1.1.1.1～5各项</w:t>
            </w:r>
          </w:p>
          <w:p w14:paraId="30E6D5F7">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.1.1.2.1～</w:t>
            </w:r>
            <w:r>
              <w:rPr>
                <w:rFonts w:hint="eastAsia" w:ascii="宋体" w:hAnsi="宋体" w:cs="宋体"/>
                <w:color w:val="auto"/>
                <w:spacing w:val="8"/>
                <w:kern w:val="0"/>
                <w:sz w:val="18"/>
                <w:szCs w:val="18"/>
                <w:highlight w:val="none"/>
                <w:vertAlign w:val="baseline"/>
                <w:lang w:val="en-US" w:eastAsia="zh-CN" w:bidi="ar-SA"/>
              </w:rPr>
              <w:t>3</w:t>
            </w:r>
            <w:r>
              <w:rPr>
                <w:rFonts w:hint="eastAsia" w:ascii="宋体" w:hAnsi="宋体" w:eastAsia="宋体" w:cs="宋体"/>
                <w:color w:val="auto"/>
                <w:spacing w:val="8"/>
                <w:kern w:val="0"/>
                <w:sz w:val="18"/>
                <w:szCs w:val="18"/>
                <w:highlight w:val="none"/>
                <w:vertAlign w:val="baseline"/>
                <w:lang w:val="en-US" w:eastAsia="zh-CN" w:bidi="ar-SA"/>
              </w:rPr>
              <w:t>各项</w:t>
            </w:r>
          </w:p>
          <w:p w14:paraId="75C9EA13">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.1.2.1.1～2各项</w:t>
            </w:r>
          </w:p>
          <w:p w14:paraId="7B026942">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.1.2.2.1～2各项</w:t>
            </w:r>
          </w:p>
          <w:p w14:paraId="1DBD59C6">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.1.2.3.1～2各项</w:t>
            </w:r>
          </w:p>
          <w:p w14:paraId="1E853A5E">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.1.2.4.1～2各项</w:t>
            </w:r>
          </w:p>
        </w:tc>
        <w:tc>
          <w:tcPr>
            <w:tcW w:w="2393" w:type="dxa"/>
            <w:vAlign w:val="center"/>
          </w:tcPr>
          <w:p w14:paraId="675E9BF1">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.1.1</w:t>
            </w:r>
          </w:p>
          <w:p w14:paraId="26D2EB90">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.1.2</w:t>
            </w:r>
          </w:p>
        </w:tc>
        <w:tc>
          <w:tcPr>
            <w:tcW w:w="2393" w:type="dxa"/>
            <w:vAlign w:val="center"/>
          </w:tcPr>
          <w:p w14:paraId="3B96BBF8">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.1</w:t>
            </w:r>
          </w:p>
        </w:tc>
      </w:tr>
      <w:tr w14:paraId="7CB9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2" w:type="dxa"/>
            <w:vAlign w:val="center"/>
          </w:tcPr>
          <w:p w14:paraId="11689D85">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eastAsia="宋体" w:cs="宋体"/>
                <w:color w:val="auto"/>
                <w:spacing w:val="8"/>
                <w:kern w:val="0"/>
                <w:sz w:val="18"/>
                <w:szCs w:val="18"/>
                <w:highlight w:val="none"/>
                <w:vertAlign w:val="baseline"/>
                <w:lang w:val="en-US" w:eastAsia="zh-CN" w:bidi="ar-SA"/>
              </w:rPr>
              <w:t>低压电器</w:t>
            </w:r>
          </w:p>
        </w:tc>
        <w:tc>
          <w:tcPr>
            <w:tcW w:w="2393" w:type="dxa"/>
            <w:vAlign w:val="center"/>
          </w:tcPr>
          <w:p w14:paraId="6001F7A6">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.2.1.1.1</w:t>
            </w:r>
            <w:r>
              <w:rPr>
                <w:rFonts w:hint="eastAsia" w:ascii="宋体" w:hAnsi="宋体" w:eastAsia="宋体" w:cs="宋体"/>
                <w:color w:val="auto"/>
                <w:spacing w:val="8"/>
                <w:kern w:val="0"/>
                <w:sz w:val="18"/>
                <w:szCs w:val="18"/>
                <w:highlight w:val="none"/>
                <w:vertAlign w:val="baseline"/>
                <w:lang w:val="en-US" w:eastAsia="zh-CN" w:bidi="ar-SA"/>
              </w:rPr>
              <w:t>～</w:t>
            </w:r>
            <w:r>
              <w:rPr>
                <w:rFonts w:hint="eastAsia" w:ascii="宋体" w:hAnsi="宋体" w:cs="宋体"/>
                <w:color w:val="auto"/>
                <w:spacing w:val="8"/>
                <w:kern w:val="0"/>
                <w:sz w:val="18"/>
                <w:szCs w:val="18"/>
                <w:highlight w:val="none"/>
                <w:vertAlign w:val="baseline"/>
                <w:lang w:val="en-US" w:eastAsia="zh-CN" w:bidi="ar-SA"/>
              </w:rPr>
              <w:t>8</w:t>
            </w:r>
            <w:r>
              <w:rPr>
                <w:rFonts w:hint="eastAsia" w:ascii="宋体" w:hAnsi="宋体" w:eastAsia="宋体" w:cs="宋体"/>
                <w:color w:val="auto"/>
                <w:spacing w:val="8"/>
                <w:kern w:val="0"/>
                <w:sz w:val="18"/>
                <w:szCs w:val="18"/>
                <w:highlight w:val="none"/>
                <w:vertAlign w:val="baseline"/>
                <w:lang w:val="en-US" w:eastAsia="zh-CN" w:bidi="ar-SA"/>
              </w:rPr>
              <w:t>各项</w:t>
            </w:r>
          </w:p>
          <w:p w14:paraId="61155185">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.2.1.2</w:t>
            </w:r>
          </w:p>
          <w:p w14:paraId="5A413414">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.2.2.1.1</w:t>
            </w:r>
            <w:r>
              <w:rPr>
                <w:rFonts w:hint="eastAsia" w:ascii="宋体" w:hAnsi="宋体" w:eastAsia="宋体" w:cs="宋体"/>
                <w:color w:val="auto"/>
                <w:spacing w:val="8"/>
                <w:kern w:val="0"/>
                <w:sz w:val="18"/>
                <w:szCs w:val="18"/>
                <w:highlight w:val="none"/>
                <w:vertAlign w:val="baseline"/>
                <w:lang w:val="en-US" w:eastAsia="zh-CN" w:bidi="ar-SA"/>
              </w:rPr>
              <w:t>～</w:t>
            </w:r>
            <w:r>
              <w:rPr>
                <w:rFonts w:hint="eastAsia" w:ascii="宋体" w:hAnsi="宋体" w:cs="宋体"/>
                <w:color w:val="auto"/>
                <w:spacing w:val="8"/>
                <w:kern w:val="0"/>
                <w:sz w:val="18"/>
                <w:szCs w:val="18"/>
                <w:highlight w:val="none"/>
                <w:vertAlign w:val="baseline"/>
                <w:lang w:val="en-US" w:eastAsia="zh-CN" w:bidi="ar-SA"/>
              </w:rPr>
              <w:t>2</w:t>
            </w:r>
            <w:r>
              <w:rPr>
                <w:rFonts w:hint="eastAsia" w:ascii="宋体" w:hAnsi="宋体" w:eastAsia="宋体" w:cs="宋体"/>
                <w:color w:val="auto"/>
                <w:spacing w:val="8"/>
                <w:kern w:val="0"/>
                <w:sz w:val="18"/>
                <w:szCs w:val="18"/>
                <w:highlight w:val="none"/>
                <w:vertAlign w:val="baseline"/>
                <w:lang w:val="en-US" w:eastAsia="zh-CN" w:bidi="ar-SA"/>
              </w:rPr>
              <w:t>各项</w:t>
            </w:r>
          </w:p>
          <w:p w14:paraId="713D41A5">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宋体" w:hAnsi="宋体" w:eastAsia="宋体" w:cs="宋体"/>
                <w:color w:val="auto"/>
                <w:spacing w:val="11"/>
                <w:sz w:val="18"/>
                <w:szCs w:val="18"/>
                <w:lang w:val="en-US" w:eastAsia="zh-CN"/>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.2.2.</w:t>
            </w:r>
            <w:r>
              <w:rPr>
                <w:rFonts w:hint="eastAsia" w:ascii="宋体" w:hAnsi="宋体" w:cs="宋体"/>
                <w:snapToGrid w:val="0"/>
                <w:color w:val="auto"/>
                <w:kern w:val="0"/>
                <w:sz w:val="18"/>
                <w:szCs w:val="18"/>
                <w:lang w:val="en-US" w:eastAsia="zh-CN" w:bidi="ar"/>
              </w:rPr>
              <w:t>2</w:t>
            </w:r>
            <w:r>
              <w:rPr>
                <w:rFonts w:hint="eastAsia" w:ascii="宋体" w:hAnsi="宋体" w:eastAsia="宋体" w:cs="宋体"/>
                <w:snapToGrid w:val="0"/>
                <w:color w:val="auto"/>
                <w:kern w:val="0"/>
                <w:sz w:val="18"/>
                <w:szCs w:val="18"/>
                <w:lang w:val="en-US" w:eastAsia="zh-CN" w:bidi="ar"/>
              </w:rPr>
              <w:t>.1</w:t>
            </w:r>
            <w:r>
              <w:rPr>
                <w:rFonts w:hint="eastAsia" w:ascii="宋体" w:hAnsi="宋体" w:eastAsia="宋体" w:cs="宋体"/>
                <w:color w:val="auto"/>
                <w:spacing w:val="8"/>
                <w:kern w:val="0"/>
                <w:sz w:val="18"/>
                <w:szCs w:val="18"/>
                <w:highlight w:val="none"/>
                <w:vertAlign w:val="baseline"/>
                <w:lang w:val="en-US" w:eastAsia="zh-CN" w:bidi="ar-SA"/>
              </w:rPr>
              <w:t>～</w:t>
            </w:r>
            <w:r>
              <w:rPr>
                <w:rFonts w:hint="eastAsia" w:ascii="宋体" w:hAnsi="宋体" w:cs="宋体"/>
                <w:color w:val="auto"/>
                <w:spacing w:val="11"/>
                <w:sz w:val="18"/>
                <w:szCs w:val="18"/>
                <w:lang w:val="en-US" w:eastAsia="zh-CN"/>
              </w:rPr>
              <w:t>2</w:t>
            </w:r>
            <w:r>
              <w:rPr>
                <w:rFonts w:hint="eastAsia" w:ascii="宋体" w:hAnsi="宋体" w:eastAsia="宋体" w:cs="宋体"/>
                <w:color w:val="auto"/>
                <w:spacing w:val="8"/>
                <w:kern w:val="0"/>
                <w:sz w:val="18"/>
                <w:szCs w:val="18"/>
                <w:highlight w:val="none"/>
                <w:vertAlign w:val="baseline"/>
                <w:lang w:val="en-US" w:eastAsia="zh-CN" w:bidi="ar-SA"/>
              </w:rPr>
              <w:t>各项</w:t>
            </w:r>
          </w:p>
          <w:p w14:paraId="09769DF2">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.2.3.1.1</w:t>
            </w:r>
            <w:r>
              <w:rPr>
                <w:rFonts w:hint="eastAsia" w:ascii="宋体" w:hAnsi="宋体" w:eastAsia="宋体" w:cs="宋体"/>
                <w:color w:val="auto"/>
                <w:spacing w:val="8"/>
                <w:kern w:val="0"/>
                <w:sz w:val="18"/>
                <w:szCs w:val="18"/>
                <w:highlight w:val="none"/>
                <w:vertAlign w:val="baseline"/>
                <w:lang w:val="en-US" w:eastAsia="zh-CN" w:bidi="ar-SA"/>
              </w:rPr>
              <w:t>～</w:t>
            </w:r>
            <w:r>
              <w:rPr>
                <w:rFonts w:hint="eastAsia" w:ascii="宋体" w:hAnsi="宋体" w:cs="宋体"/>
                <w:color w:val="auto"/>
                <w:spacing w:val="8"/>
                <w:kern w:val="0"/>
                <w:sz w:val="18"/>
                <w:szCs w:val="18"/>
                <w:highlight w:val="none"/>
                <w:vertAlign w:val="baseline"/>
                <w:lang w:val="en-US" w:eastAsia="zh-CN" w:bidi="ar-SA"/>
              </w:rPr>
              <w:t>3</w:t>
            </w:r>
            <w:r>
              <w:rPr>
                <w:rFonts w:hint="eastAsia" w:ascii="宋体" w:hAnsi="宋体" w:eastAsia="宋体" w:cs="宋体"/>
                <w:color w:val="auto"/>
                <w:spacing w:val="8"/>
                <w:kern w:val="0"/>
                <w:sz w:val="18"/>
                <w:szCs w:val="18"/>
                <w:highlight w:val="none"/>
                <w:vertAlign w:val="baseline"/>
                <w:lang w:val="en-US" w:eastAsia="zh-CN" w:bidi="ar-SA"/>
              </w:rPr>
              <w:t>各项</w:t>
            </w:r>
          </w:p>
          <w:p w14:paraId="435D6466">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.2.3.2.1</w:t>
            </w:r>
            <w:r>
              <w:rPr>
                <w:rFonts w:hint="eastAsia" w:ascii="宋体" w:hAnsi="宋体" w:eastAsia="宋体" w:cs="宋体"/>
                <w:color w:val="auto"/>
                <w:spacing w:val="8"/>
                <w:kern w:val="0"/>
                <w:sz w:val="18"/>
                <w:szCs w:val="18"/>
                <w:highlight w:val="none"/>
                <w:vertAlign w:val="baseline"/>
                <w:lang w:val="en-US" w:eastAsia="zh-CN" w:bidi="ar-SA"/>
              </w:rPr>
              <w:t>～2各项</w:t>
            </w:r>
          </w:p>
        </w:tc>
        <w:tc>
          <w:tcPr>
            <w:tcW w:w="2393" w:type="dxa"/>
            <w:vAlign w:val="center"/>
          </w:tcPr>
          <w:p w14:paraId="2AF45ED7">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.2.1</w:t>
            </w:r>
          </w:p>
          <w:p w14:paraId="00683367">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.2.2</w:t>
            </w:r>
          </w:p>
          <w:p w14:paraId="74949F97">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.2.3</w:t>
            </w:r>
          </w:p>
        </w:tc>
        <w:tc>
          <w:tcPr>
            <w:tcW w:w="2393" w:type="dxa"/>
            <w:vAlign w:val="center"/>
          </w:tcPr>
          <w:p w14:paraId="12D25880">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.2</w:t>
            </w:r>
          </w:p>
        </w:tc>
      </w:tr>
      <w:tr w14:paraId="1D3F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2" w:type="dxa"/>
            <w:vAlign w:val="center"/>
          </w:tcPr>
          <w:p w14:paraId="469ED922">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eastAsia="宋体" w:cs="宋体"/>
                <w:color w:val="auto"/>
                <w:spacing w:val="8"/>
                <w:kern w:val="0"/>
                <w:sz w:val="18"/>
                <w:szCs w:val="18"/>
                <w:highlight w:val="none"/>
                <w:vertAlign w:val="baseline"/>
                <w:lang w:val="en-US" w:eastAsia="zh-CN" w:bidi="ar-SA"/>
              </w:rPr>
              <w:t>低压配电线路</w:t>
            </w:r>
          </w:p>
        </w:tc>
        <w:tc>
          <w:tcPr>
            <w:tcW w:w="2393" w:type="dxa"/>
            <w:vAlign w:val="center"/>
          </w:tcPr>
          <w:p w14:paraId="0DE8E229">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.3.1.1.1</w:t>
            </w:r>
            <w:r>
              <w:rPr>
                <w:rFonts w:hint="eastAsia" w:ascii="宋体" w:hAnsi="宋体" w:eastAsia="宋体" w:cs="宋体"/>
                <w:color w:val="auto"/>
                <w:spacing w:val="8"/>
                <w:kern w:val="0"/>
                <w:sz w:val="18"/>
                <w:szCs w:val="18"/>
                <w:highlight w:val="none"/>
                <w:vertAlign w:val="baseline"/>
                <w:lang w:val="en-US" w:eastAsia="zh-CN" w:bidi="ar-SA"/>
              </w:rPr>
              <w:t>～4各项</w:t>
            </w:r>
          </w:p>
          <w:p w14:paraId="0D5A4B2D">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 </w:t>
            </w: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.3.1.2.1</w:t>
            </w:r>
            <w:r>
              <w:rPr>
                <w:rFonts w:hint="eastAsia" w:ascii="宋体" w:hAnsi="宋体" w:eastAsia="宋体" w:cs="宋体"/>
                <w:color w:val="auto"/>
                <w:spacing w:val="8"/>
                <w:kern w:val="0"/>
                <w:sz w:val="18"/>
                <w:szCs w:val="18"/>
                <w:highlight w:val="none"/>
                <w:vertAlign w:val="baseline"/>
                <w:lang w:val="en-US" w:eastAsia="zh-CN" w:bidi="ar-SA"/>
              </w:rPr>
              <w:t>～</w:t>
            </w:r>
            <w:r>
              <w:rPr>
                <w:rFonts w:hint="eastAsia" w:ascii="宋体" w:hAnsi="宋体" w:cs="宋体"/>
                <w:color w:val="auto"/>
                <w:spacing w:val="8"/>
                <w:kern w:val="0"/>
                <w:sz w:val="18"/>
                <w:szCs w:val="18"/>
                <w:highlight w:val="none"/>
                <w:vertAlign w:val="baseline"/>
                <w:lang w:val="en-US" w:eastAsia="zh-CN" w:bidi="ar-SA"/>
              </w:rPr>
              <w:t>3</w:t>
            </w:r>
            <w:r>
              <w:rPr>
                <w:rFonts w:hint="eastAsia" w:ascii="宋体" w:hAnsi="宋体" w:eastAsia="宋体" w:cs="宋体"/>
                <w:color w:val="auto"/>
                <w:spacing w:val="8"/>
                <w:kern w:val="0"/>
                <w:sz w:val="18"/>
                <w:szCs w:val="18"/>
                <w:highlight w:val="none"/>
                <w:vertAlign w:val="baseline"/>
                <w:lang w:val="en-US" w:eastAsia="zh-CN" w:bidi="ar-SA"/>
              </w:rPr>
              <w:t>各项</w:t>
            </w:r>
          </w:p>
          <w:p w14:paraId="4F98BC0B">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.3.2.1.1</w:t>
            </w:r>
            <w:r>
              <w:rPr>
                <w:rFonts w:hint="eastAsia" w:ascii="宋体" w:hAnsi="宋体" w:eastAsia="宋体" w:cs="宋体"/>
                <w:color w:val="auto"/>
                <w:spacing w:val="8"/>
                <w:kern w:val="0"/>
                <w:sz w:val="18"/>
                <w:szCs w:val="18"/>
                <w:highlight w:val="none"/>
                <w:vertAlign w:val="baseline"/>
                <w:lang w:val="en-US" w:eastAsia="zh-CN" w:bidi="ar-SA"/>
              </w:rPr>
              <w:t>～1</w:t>
            </w:r>
            <w:r>
              <w:rPr>
                <w:rFonts w:hint="eastAsia" w:ascii="宋体" w:hAnsi="宋体" w:cs="宋体"/>
                <w:color w:val="auto"/>
                <w:spacing w:val="8"/>
                <w:kern w:val="0"/>
                <w:sz w:val="18"/>
                <w:szCs w:val="18"/>
                <w:highlight w:val="none"/>
                <w:vertAlign w:val="baseline"/>
                <w:lang w:val="en-US" w:eastAsia="zh-CN" w:bidi="ar-SA"/>
              </w:rPr>
              <w:t>5</w:t>
            </w:r>
            <w:r>
              <w:rPr>
                <w:rFonts w:hint="eastAsia" w:ascii="宋体" w:hAnsi="宋体" w:eastAsia="宋体" w:cs="宋体"/>
                <w:color w:val="auto"/>
                <w:spacing w:val="8"/>
                <w:kern w:val="0"/>
                <w:sz w:val="18"/>
                <w:szCs w:val="18"/>
                <w:highlight w:val="none"/>
                <w:vertAlign w:val="baseline"/>
                <w:lang w:val="en-US" w:eastAsia="zh-CN" w:bidi="ar-SA"/>
              </w:rPr>
              <w:t>各项</w:t>
            </w:r>
          </w:p>
          <w:p w14:paraId="1C01E3C9">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.3.3.1.1</w:t>
            </w:r>
            <w:r>
              <w:rPr>
                <w:rFonts w:hint="eastAsia" w:ascii="宋体" w:hAnsi="宋体" w:eastAsia="宋体" w:cs="宋体"/>
                <w:color w:val="auto"/>
                <w:spacing w:val="8"/>
                <w:kern w:val="0"/>
                <w:sz w:val="18"/>
                <w:szCs w:val="18"/>
                <w:highlight w:val="none"/>
                <w:vertAlign w:val="baseline"/>
                <w:lang w:val="en-US" w:eastAsia="zh-CN" w:bidi="ar-SA"/>
              </w:rPr>
              <w:t>～5各项</w:t>
            </w:r>
          </w:p>
          <w:p w14:paraId="493F6E7E">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.3.3.2.1</w:t>
            </w:r>
            <w:r>
              <w:rPr>
                <w:rFonts w:hint="eastAsia" w:ascii="宋体" w:hAnsi="宋体" w:eastAsia="宋体" w:cs="宋体"/>
                <w:color w:val="auto"/>
                <w:spacing w:val="8"/>
                <w:kern w:val="0"/>
                <w:sz w:val="18"/>
                <w:szCs w:val="18"/>
                <w:highlight w:val="none"/>
                <w:vertAlign w:val="baseline"/>
                <w:lang w:val="en-US" w:eastAsia="zh-CN" w:bidi="ar-SA"/>
              </w:rPr>
              <w:t>～2各项</w:t>
            </w:r>
          </w:p>
        </w:tc>
        <w:tc>
          <w:tcPr>
            <w:tcW w:w="2393" w:type="dxa"/>
            <w:vAlign w:val="center"/>
          </w:tcPr>
          <w:p w14:paraId="49EDA5AD">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.3.1</w:t>
            </w:r>
          </w:p>
          <w:p w14:paraId="72423384">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.3.2</w:t>
            </w:r>
          </w:p>
          <w:p w14:paraId="63F448F4">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.3.3</w:t>
            </w:r>
          </w:p>
        </w:tc>
        <w:tc>
          <w:tcPr>
            <w:tcW w:w="2393" w:type="dxa"/>
            <w:vAlign w:val="center"/>
          </w:tcPr>
          <w:p w14:paraId="77E3E2CA">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.3</w:t>
            </w:r>
          </w:p>
        </w:tc>
      </w:tr>
      <w:tr w14:paraId="7E83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2" w:type="dxa"/>
            <w:vAlign w:val="center"/>
          </w:tcPr>
          <w:p w14:paraId="0F683E9B">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eastAsia="宋体" w:cs="宋体"/>
                <w:color w:val="auto"/>
                <w:spacing w:val="8"/>
                <w:kern w:val="0"/>
                <w:sz w:val="18"/>
                <w:szCs w:val="18"/>
                <w:highlight w:val="none"/>
                <w:vertAlign w:val="baseline"/>
                <w:lang w:val="en-US" w:eastAsia="zh-CN" w:bidi="ar-SA"/>
              </w:rPr>
              <w:t>照明灯具和开关、插座</w:t>
            </w:r>
          </w:p>
        </w:tc>
        <w:tc>
          <w:tcPr>
            <w:tcW w:w="2393" w:type="dxa"/>
            <w:vAlign w:val="center"/>
          </w:tcPr>
          <w:p w14:paraId="1F09FB32">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.4.1.1.1</w:t>
            </w:r>
            <w:r>
              <w:rPr>
                <w:rFonts w:hint="eastAsia" w:ascii="宋体" w:hAnsi="宋体" w:eastAsia="宋体" w:cs="宋体"/>
                <w:color w:val="auto"/>
                <w:spacing w:val="8"/>
                <w:kern w:val="0"/>
                <w:sz w:val="18"/>
                <w:szCs w:val="18"/>
                <w:highlight w:val="none"/>
                <w:vertAlign w:val="baseline"/>
                <w:lang w:val="en-US" w:eastAsia="zh-CN" w:bidi="ar-SA"/>
              </w:rPr>
              <w:t>～9各项</w:t>
            </w:r>
          </w:p>
          <w:p w14:paraId="7B8345AE">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.4.1.2.1</w:t>
            </w:r>
            <w:r>
              <w:rPr>
                <w:rFonts w:hint="eastAsia" w:ascii="宋体" w:hAnsi="宋体" w:eastAsia="宋体" w:cs="宋体"/>
                <w:color w:val="auto"/>
                <w:spacing w:val="8"/>
                <w:kern w:val="0"/>
                <w:sz w:val="18"/>
                <w:szCs w:val="18"/>
                <w:highlight w:val="none"/>
                <w:vertAlign w:val="baseline"/>
                <w:lang w:val="en-US" w:eastAsia="zh-CN" w:bidi="ar-SA"/>
              </w:rPr>
              <w:t>～</w:t>
            </w:r>
            <w:r>
              <w:rPr>
                <w:rFonts w:hint="eastAsia" w:ascii="宋体" w:hAnsi="宋体" w:cs="宋体"/>
                <w:color w:val="auto"/>
                <w:spacing w:val="8"/>
                <w:kern w:val="0"/>
                <w:sz w:val="18"/>
                <w:szCs w:val="18"/>
                <w:highlight w:val="none"/>
                <w:vertAlign w:val="baseline"/>
                <w:lang w:val="en-US" w:eastAsia="zh-CN" w:bidi="ar-SA"/>
              </w:rPr>
              <w:t>3</w:t>
            </w:r>
            <w:r>
              <w:rPr>
                <w:rFonts w:hint="eastAsia" w:ascii="宋体" w:hAnsi="宋体" w:eastAsia="宋体" w:cs="宋体"/>
                <w:color w:val="auto"/>
                <w:spacing w:val="8"/>
                <w:kern w:val="0"/>
                <w:sz w:val="18"/>
                <w:szCs w:val="18"/>
                <w:highlight w:val="none"/>
                <w:vertAlign w:val="baseline"/>
                <w:lang w:val="en-US" w:eastAsia="zh-CN" w:bidi="ar-SA"/>
              </w:rPr>
              <w:t>各项</w:t>
            </w:r>
          </w:p>
          <w:p w14:paraId="7B822D46">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.4.2.1.1</w:t>
            </w:r>
            <w:r>
              <w:rPr>
                <w:rFonts w:hint="eastAsia" w:ascii="宋体" w:hAnsi="宋体" w:eastAsia="宋体" w:cs="宋体"/>
                <w:color w:val="auto"/>
                <w:spacing w:val="8"/>
                <w:kern w:val="0"/>
                <w:sz w:val="18"/>
                <w:szCs w:val="18"/>
                <w:highlight w:val="none"/>
                <w:vertAlign w:val="baseline"/>
                <w:lang w:val="en-US" w:eastAsia="zh-CN" w:bidi="ar-SA"/>
              </w:rPr>
              <w:t>～</w:t>
            </w:r>
            <w:r>
              <w:rPr>
                <w:rFonts w:hint="eastAsia" w:ascii="宋体" w:hAnsi="宋体" w:cs="宋体"/>
                <w:color w:val="auto"/>
                <w:spacing w:val="8"/>
                <w:kern w:val="0"/>
                <w:sz w:val="18"/>
                <w:szCs w:val="18"/>
                <w:highlight w:val="none"/>
                <w:vertAlign w:val="baseline"/>
                <w:lang w:val="en-US" w:eastAsia="zh-CN" w:bidi="ar-SA"/>
              </w:rPr>
              <w:t>7</w:t>
            </w:r>
            <w:r>
              <w:rPr>
                <w:rFonts w:hint="eastAsia" w:ascii="宋体" w:hAnsi="宋体" w:eastAsia="宋体" w:cs="宋体"/>
                <w:color w:val="auto"/>
                <w:spacing w:val="8"/>
                <w:kern w:val="0"/>
                <w:sz w:val="18"/>
                <w:szCs w:val="18"/>
                <w:highlight w:val="none"/>
                <w:vertAlign w:val="baseline"/>
                <w:lang w:val="en-US" w:eastAsia="zh-CN" w:bidi="ar-SA"/>
              </w:rPr>
              <w:t>各项</w:t>
            </w:r>
          </w:p>
          <w:p w14:paraId="648C2132">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.4.2.2.1</w:t>
            </w:r>
            <w:r>
              <w:rPr>
                <w:rFonts w:hint="eastAsia" w:ascii="宋体" w:hAnsi="宋体" w:eastAsia="宋体" w:cs="宋体"/>
                <w:color w:val="auto"/>
                <w:spacing w:val="8"/>
                <w:kern w:val="0"/>
                <w:sz w:val="18"/>
                <w:szCs w:val="18"/>
                <w:highlight w:val="none"/>
                <w:vertAlign w:val="baseline"/>
                <w:lang w:val="en-US" w:eastAsia="zh-CN" w:bidi="ar-SA"/>
              </w:rPr>
              <w:t>～2各项</w:t>
            </w:r>
          </w:p>
        </w:tc>
        <w:tc>
          <w:tcPr>
            <w:tcW w:w="2393" w:type="dxa"/>
            <w:vAlign w:val="center"/>
          </w:tcPr>
          <w:p w14:paraId="35337913">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.4.1</w:t>
            </w:r>
          </w:p>
          <w:p w14:paraId="5920165C">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.4.2</w:t>
            </w:r>
          </w:p>
        </w:tc>
        <w:tc>
          <w:tcPr>
            <w:tcW w:w="2393" w:type="dxa"/>
            <w:vAlign w:val="center"/>
          </w:tcPr>
          <w:p w14:paraId="6CC81BF7">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.4</w:t>
            </w:r>
          </w:p>
        </w:tc>
      </w:tr>
      <w:tr w14:paraId="3475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2" w:type="dxa"/>
            <w:vAlign w:val="center"/>
          </w:tcPr>
          <w:p w14:paraId="74C6F96D">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eastAsia="宋体" w:cs="宋体"/>
                <w:color w:val="auto"/>
                <w:spacing w:val="8"/>
                <w:kern w:val="0"/>
                <w:sz w:val="18"/>
                <w:szCs w:val="18"/>
                <w:highlight w:val="none"/>
                <w:vertAlign w:val="baseline"/>
                <w:lang w:val="en-US" w:eastAsia="zh-CN" w:bidi="ar-SA"/>
              </w:rPr>
              <w:t>常用电器装置</w:t>
            </w:r>
          </w:p>
        </w:tc>
        <w:tc>
          <w:tcPr>
            <w:tcW w:w="2393" w:type="dxa"/>
            <w:vAlign w:val="center"/>
          </w:tcPr>
          <w:p w14:paraId="65A374FA">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.5.1.1.1</w:t>
            </w:r>
            <w:r>
              <w:rPr>
                <w:rFonts w:hint="eastAsia" w:ascii="宋体" w:hAnsi="宋体" w:eastAsia="宋体" w:cs="宋体"/>
                <w:color w:val="auto"/>
                <w:spacing w:val="8"/>
                <w:kern w:val="0"/>
                <w:sz w:val="18"/>
                <w:szCs w:val="18"/>
                <w:highlight w:val="none"/>
                <w:vertAlign w:val="baseline"/>
                <w:lang w:val="en-US" w:eastAsia="zh-CN" w:bidi="ar-SA"/>
              </w:rPr>
              <w:t>～5各项</w:t>
            </w:r>
          </w:p>
          <w:p w14:paraId="30BB7670">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.5.1.2.1</w:t>
            </w:r>
            <w:r>
              <w:rPr>
                <w:rFonts w:hint="eastAsia" w:ascii="宋体" w:hAnsi="宋体" w:eastAsia="宋体" w:cs="宋体"/>
                <w:color w:val="auto"/>
                <w:spacing w:val="8"/>
                <w:kern w:val="0"/>
                <w:sz w:val="18"/>
                <w:szCs w:val="18"/>
                <w:highlight w:val="none"/>
                <w:vertAlign w:val="baseline"/>
                <w:lang w:val="en-US" w:eastAsia="zh-CN" w:bidi="ar-SA"/>
              </w:rPr>
              <w:t>～</w:t>
            </w:r>
            <w:r>
              <w:rPr>
                <w:rFonts w:hint="eastAsia" w:ascii="宋体" w:hAnsi="宋体" w:cs="宋体"/>
                <w:color w:val="auto"/>
                <w:spacing w:val="8"/>
                <w:kern w:val="0"/>
                <w:sz w:val="18"/>
                <w:szCs w:val="18"/>
                <w:highlight w:val="none"/>
                <w:vertAlign w:val="baseline"/>
                <w:lang w:val="en-US" w:eastAsia="zh-CN" w:bidi="ar-SA"/>
              </w:rPr>
              <w:t>4</w:t>
            </w:r>
            <w:r>
              <w:rPr>
                <w:rFonts w:hint="eastAsia" w:ascii="宋体" w:hAnsi="宋体" w:eastAsia="宋体" w:cs="宋体"/>
                <w:color w:val="auto"/>
                <w:spacing w:val="8"/>
                <w:kern w:val="0"/>
                <w:sz w:val="18"/>
                <w:szCs w:val="18"/>
                <w:highlight w:val="none"/>
                <w:vertAlign w:val="baseline"/>
                <w:lang w:val="en-US" w:eastAsia="zh-CN" w:bidi="ar-SA"/>
              </w:rPr>
              <w:t>各项</w:t>
            </w:r>
          </w:p>
          <w:p w14:paraId="29E9AED2">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.5.2.1.1</w:t>
            </w:r>
            <w:r>
              <w:rPr>
                <w:rFonts w:hint="eastAsia" w:ascii="宋体" w:hAnsi="宋体" w:eastAsia="宋体" w:cs="宋体"/>
                <w:color w:val="auto"/>
                <w:spacing w:val="8"/>
                <w:kern w:val="0"/>
                <w:sz w:val="18"/>
                <w:szCs w:val="18"/>
                <w:highlight w:val="none"/>
                <w:vertAlign w:val="baseline"/>
                <w:lang w:val="en-US" w:eastAsia="zh-CN" w:bidi="ar-SA"/>
              </w:rPr>
              <w:t>～3各项</w:t>
            </w:r>
          </w:p>
          <w:p w14:paraId="0AF8778B">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.5.2.2.1</w:t>
            </w:r>
            <w:r>
              <w:rPr>
                <w:rFonts w:hint="eastAsia" w:ascii="宋体" w:hAnsi="宋体" w:eastAsia="宋体" w:cs="宋体"/>
                <w:color w:val="auto"/>
                <w:spacing w:val="8"/>
                <w:kern w:val="0"/>
                <w:sz w:val="18"/>
                <w:szCs w:val="18"/>
                <w:highlight w:val="none"/>
                <w:vertAlign w:val="baseline"/>
                <w:lang w:val="en-US" w:eastAsia="zh-CN" w:bidi="ar-SA"/>
              </w:rPr>
              <w:t>～2各项</w:t>
            </w:r>
          </w:p>
          <w:p w14:paraId="03B9DFCC">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.5.3.1.1</w:t>
            </w:r>
            <w:r>
              <w:rPr>
                <w:rFonts w:hint="eastAsia" w:ascii="宋体" w:hAnsi="宋体" w:eastAsia="宋体" w:cs="宋体"/>
                <w:color w:val="auto"/>
                <w:spacing w:val="8"/>
                <w:kern w:val="0"/>
                <w:sz w:val="18"/>
                <w:szCs w:val="18"/>
                <w:highlight w:val="none"/>
                <w:vertAlign w:val="baseline"/>
                <w:lang w:val="en-US" w:eastAsia="zh-CN" w:bidi="ar-SA"/>
              </w:rPr>
              <w:t>～2各项</w:t>
            </w:r>
          </w:p>
          <w:p w14:paraId="53023729">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.5.3.2.1</w:t>
            </w:r>
            <w:r>
              <w:rPr>
                <w:rFonts w:hint="eastAsia" w:ascii="宋体" w:hAnsi="宋体" w:eastAsia="宋体" w:cs="宋体"/>
                <w:color w:val="auto"/>
                <w:spacing w:val="8"/>
                <w:kern w:val="0"/>
                <w:sz w:val="18"/>
                <w:szCs w:val="18"/>
                <w:highlight w:val="none"/>
                <w:vertAlign w:val="baseline"/>
                <w:lang w:val="en-US" w:eastAsia="zh-CN" w:bidi="ar-SA"/>
              </w:rPr>
              <w:t>～3各项</w:t>
            </w:r>
          </w:p>
          <w:p w14:paraId="3C207F63">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.5.4.1.1</w:t>
            </w:r>
            <w:r>
              <w:rPr>
                <w:rFonts w:hint="eastAsia" w:ascii="宋体" w:hAnsi="宋体" w:eastAsia="宋体" w:cs="宋体"/>
                <w:color w:val="auto"/>
                <w:spacing w:val="8"/>
                <w:kern w:val="0"/>
                <w:sz w:val="18"/>
                <w:szCs w:val="18"/>
                <w:highlight w:val="none"/>
                <w:vertAlign w:val="baseline"/>
                <w:lang w:val="en-US" w:eastAsia="zh-CN" w:bidi="ar-SA"/>
              </w:rPr>
              <w:t>～4各项</w:t>
            </w:r>
          </w:p>
          <w:p w14:paraId="0B8C9FFA">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.5.4.2</w:t>
            </w:r>
          </w:p>
        </w:tc>
        <w:tc>
          <w:tcPr>
            <w:tcW w:w="2393" w:type="dxa"/>
            <w:vAlign w:val="center"/>
          </w:tcPr>
          <w:p w14:paraId="19DED083">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.5.1</w:t>
            </w:r>
          </w:p>
          <w:p w14:paraId="76A9D596">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.5.2</w:t>
            </w:r>
          </w:p>
          <w:p w14:paraId="2387A878">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.5.3</w:t>
            </w:r>
          </w:p>
          <w:p w14:paraId="3AA0FFB3">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.5.4</w:t>
            </w:r>
          </w:p>
        </w:tc>
        <w:tc>
          <w:tcPr>
            <w:tcW w:w="2393" w:type="dxa"/>
            <w:vAlign w:val="center"/>
          </w:tcPr>
          <w:p w14:paraId="228CF62F">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.5</w:t>
            </w:r>
          </w:p>
        </w:tc>
      </w:tr>
      <w:tr w14:paraId="59F2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2" w:type="dxa"/>
            <w:vAlign w:val="center"/>
          </w:tcPr>
          <w:p w14:paraId="55F7BE06">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eastAsia="宋体" w:cs="宋体"/>
                <w:color w:val="auto"/>
                <w:spacing w:val="8"/>
                <w:kern w:val="0"/>
                <w:sz w:val="18"/>
                <w:szCs w:val="18"/>
                <w:highlight w:val="none"/>
                <w:vertAlign w:val="baseline"/>
                <w:lang w:val="en-US" w:eastAsia="zh-CN" w:bidi="ar-SA"/>
              </w:rPr>
              <w:t>其它用电装置</w:t>
            </w:r>
          </w:p>
        </w:tc>
        <w:tc>
          <w:tcPr>
            <w:tcW w:w="2393" w:type="dxa"/>
            <w:vAlign w:val="center"/>
          </w:tcPr>
          <w:p w14:paraId="250B4341">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 </w:t>
            </w: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.6.1.1.1</w:t>
            </w:r>
            <w:r>
              <w:rPr>
                <w:rFonts w:hint="eastAsia" w:ascii="宋体" w:hAnsi="宋体" w:eastAsia="宋体" w:cs="宋体"/>
                <w:color w:val="auto"/>
                <w:spacing w:val="8"/>
                <w:kern w:val="0"/>
                <w:sz w:val="18"/>
                <w:szCs w:val="18"/>
                <w:highlight w:val="none"/>
                <w:vertAlign w:val="baseline"/>
                <w:lang w:val="en-US" w:eastAsia="zh-CN" w:bidi="ar-SA"/>
              </w:rPr>
              <w:t>～4各项</w:t>
            </w:r>
          </w:p>
          <w:p w14:paraId="6B67175D">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snapToGrid w:val="0"/>
                <w:color w:val="auto"/>
                <w:spacing w:val="8"/>
                <w:kern w:val="0"/>
                <w:sz w:val="18"/>
                <w:szCs w:val="18"/>
                <w:lang w:val="en-US" w:eastAsia="zh-CN"/>
              </w:rPr>
            </w:pPr>
            <w:r>
              <w:rPr>
                <w:rFonts w:hint="eastAsia" w:ascii="宋体" w:hAnsi="宋体" w:cs="宋体"/>
                <w:snapToGrid w:val="0"/>
                <w:color w:val="auto"/>
                <w:spacing w:val="8"/>
                <w:kern w:val="0"/>
                <w:sz w:val="18"/>
                <w:szCs w:val="18"/>
                <w:lang w:val="en-US" w:eastAsia="zh-CN"/>
              </w:rPr>
              <w:t>6</w:t>
            </w:r>
            <w:r>
              <w:rPr>
                <w:rFonts w:hint="eastAsia" w:ascii="宋体" w:hAnsi="宋体" w:eastAsia="宋体" w:cs="宋体"/>
                <w:snapToGrid w:val="0"/>
                <w:color w:val="auto"/>
                <w:spacing w:val="8"/>
                <w:kern w:val="0"/>
                <w:sz w:val="18"/>
                <w:szCs w:val="18"/>
                <w:lang w:val="en-US" w:eastAsia="zh-CN"/>
              </w:rPr>
              <w:t>.6.1.2</w:t>
            </w:r>
          </w:p>
          <w:p w14:paraId="17D96010">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.6.2.1.1</w:t>
            </w:r>
            <w:r>
              <w:rPr>
                <w:rFonts w:hint="eastAsia" w:ascii="宋体" w:hAnsi="宋体" w:eastAsia="宋体" w:cs="宋体"/>
                <w:color w:val="auto"/>
                <w:spacing w:val="8"/>
                <w:kern w:val="0"/>
                <w:sz w:val="18"/>
                <w:szCs w:val="18"/>
                <w:highlight w:val="none"/>
                <w:vertAlign w:val="baseline"/>
                <w:lang w:val="en-US" w:eastAsia="zh-CN" w:bidi="ar-SA"/>
              </w:rPr>
              <w:t>～6各项</w:t>
            </w:r>
          </w:p>
          <w:p w14:paraId="1BDD499A">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snapToGrid w:val="0"/>
                <w:color w:val="auto"/>
                <w:spacing w:val="8"/>
                <w:kern w:val="0"/>
                <w:sz w:val="18"/>
                <w:szCs w:val="18"/>
                <w:lang w:val="en-US" w:eastAsia="zh-CN"/>
              </w:rPr>
            </w:pPr>
            <w:r>
              <w:rPr>
                <w:rFonts w:hint="eastAsia" w:ascii="宋体" w:hAnsi="宋体" w:eastAsia="宋体" w:cs="宋体"/>
                <w:snapToGrid w:val="0"/>
                <w:color w:val="auto"/>
                <w:kern w:val="0"/>
                <w:sz w:val="18"/>
                <w:szCs w:val="18"/>
                <w:lang w:val="en-US" w:eastAsia="zh-CN" w:bidi="ar"/>
              </w:rPr>
              <w:t xml:space="preserve"> </w:t>
            </w: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.6.2.2.1</w:t>
            </w:r>
            <w:r>
              <w:rPr>
                <w:rFonts w:hint="eastAsia" w:ascii="宋体" w:hAnsi="宋体" w:eastAsia="宋体" w:cs="宋体"/>
                <w:color w:val="auto"/>
                <w:spacing w:val="8"/>
                <w:kern w:val="0"/>
                <w:sz w:val="18"/>
                <w:szCs w:val="18"/>
                <w:highlight w:val="none"/>
                <w:vertAlign w:val="baseline"/>
                <w:lang w:val="en-US" w:eastAsia="zh-CN" w:bidi="ar-SA"/>
              </w:rPr>
              <w:t>～</w:t>
            </w:r>
            <w:r>
              <w:rPr>
                <w:rFonts w:hint="eastAsia" w:ascii="宋体" w:hAnsi="宋体" w:cs="宋体"/>
                <w:color w:val="auto"/>
                <w:spacing w:val="8"/>
                <w:kern w:val="0"/>
                <w:sz w:val="18"/>
                <w:szCs w:val="18"/>
                <w:highlight w:val="none"/>
                <w:vertAlign w:val="baseline"/>
                <w:lang w:val="en-US" w:eastAsia="zh-CN" w:bidi="ar-SA"/>
              </w:rPr>
              <w:t>3</w:t>
            </w:r>
            <w:r>
              <w:rPr>
                <w:rFonts w:hint="eastAsia" w:ascii="宋体" w:hAnsi="宋体" w:eastAsia="宋体" w:cs="宋体"/>
                <w:color w:val="auto"/>
                <w:spacing w:val="8"/>
                <w:kern w:val="0"/>
                <w:sz w:val="18"/>
                <w:szCs w:val="18"/>
                <w:highlight w:val="none"/>
                <w:vertAlign w:val="baseline"/>
                <w:lang w:val="en-US" w:eastAsia="zh-CN" w:bidi="ar-SA"/>
              </w:rPr>
              <w:t>各项</w:t>
            </w:r>
          </w:p>
        </w:tc>
        <w:tc>
          <w:tcPr>
            <w:tcW w:w="2393" w:type="dxa"/>
            <w:vAlign w:val="center"/>
          </w:tcPr>
          <w:p w14:paraId="079BA634">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.6.1</w:t>
            </w:r>
          </w:p>
          <w:p w14:paraId="22745C79">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.6.2</w:t>
            </w:r>
          </w:p>
        </w:tc>
        <w:tc>
          <w:tcPr>
            <w:tcW w:w="2393" w:type="dxa"/>
            <w:vAlign w:val="center"/>
          </w:tcPr>
          <w:p w14:paraId="0B94E186">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.6</w:t>
            </w:r>
          </w:p>
        </w:tc>
      </w:tr>
      <w:tr w14:paraId="335B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2" w:type="dxa"/>
            <w:vAlign w:val="center"/>
          </w:tcPr>
          <w:p w14:paraId="0178EED2">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eastAsia="宋体" w:cs="宋体"/>
                <w:color w:val="auto"/>
                <w:spacing w:val="8"/>
                <w:kern w:val="0"/>
                <w:sz w:val="18"/>
                <w:szCs w:val="18"/>
                <w:highlight w:val="none"/>
                <w:vertAlign w:val="baseline"/>
                <w:lang w:val="en-US" w:eastAsia="zh-CN" w:bidi="ar-SA"/>
              </w:rPr>
              <w:t>接地和等电位联结</w:t>
            </w:r>
          </w:p>
        </w:tc>
        <w:tc>
          <w:tcPr>
            <w:tcW w:w="2393" w:type="dxa"/>
            <w:vAlign w:val="center"/>
          </w:tcPr>
          <w:p w14:paraId="7B37ECC2">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.7.1.1.1</w:t>
            </w:r>
            <w:r>
              <w:rPr>
                <w:rFonts w:hint="eastAsia" w:ascii="宋体" w:hAnsi="宋体" w:eastAsia="宋体" w:cs="宋体"/>
                <w:color w:val="auto"/>
                <w:spacing w:val="8"/>
                <w:kern w:val="0"/>
                <w:sz w:val="18"/>
                <w:szCs w:val="18"/>
                <w:highlight w:val="none"/>
                <w:vertAlign w:val="baseline"/>
                <w:lang w:val="en-US" w:eastAsia="zh-CN" w:bidi="ar-SA"/>
              </w:rPr>
              <w:t>～1</w:t>
            </w:r>
            <w:r>
              <w:rPr>
                <w:rFonts w:hint="eastAsia" w:ascii="宋体" w:hAnsi="宋体" w:cs="宋体"/>
                <w:color w:val="auto"/>
                <w:spacing w:val="8"/>
                <w:kern w:val="0"/>
                <w:sz w:val="18"/>
                <w:szCs w:val="18"/>
                <w:highlight w:val="none"/>
                <w:vertAlign w:val="baseline"/>
                <w:lang w:val="en-US" w:eastAsia="zh-CN" w:bidi="ar-SA"/>
              </w:rPr>
              <w:t>0</w:t>
            </w:r>
            <w:r>
              <w:rPr>
                <w:rFonts w:hint="eastAsia" w:ascii="宋体" w:hAnsi="宋体" w:eastAsia="宋体" w:cs="宋体"/>
                <w:color w:val="auto"/>
                <w:spacing w:val="8"/>
                <w:kern w:val="0"/>
                <w:sz w:val="18"/>
                <w:szCs w:val="18"/>
                <w:highlight w:val="none"/>
                <w:vertAlign w:val="baseline"/>
                <w:lang w:val="en-US" w:eastAsia="zh-CN" w:bidi="ar-SA"/>
              </w:rPr>
              <w:t>各项</w:t>
            </w:r>
          </w:p>
          <w:p w14:paraId="4EE58E28">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.7.1.2.1</w:t>
            </w:r>
            <w:r>
              <w:rPr>
                <w:rFonts w:hint="eastAsia" w:ascii="宋体" w:hAnsi="宋体" w:eastAsia="宋体" w:cs="宋体"/>
                <w:color w:val="auto"/>
                <w:spacing w:val="8"/>
                <w:kern w:val="0"/>
                <w:sz w:val="18"/>
                <w:szCs w:val="18"/>
                <w:highlight w:val="none"/>
                <w:vertAlign w:val="baseline"/>
                <w:lang w:val="en-US" w:eastAsia="zh-CN" w:bidi="ar-SA"/>
              </w:rPr>
              <w:t>～5各项</w:t>
            </w:r>
          </w:p>
          <w:p w14:paraId="31323ACB">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snapToGrid w:val="0"/>
                <w:color w:val="auto"/>
                <w:kern w:val="0"/>
                <w:sz w:val="18"/>
                <w:szCs w:val="18"/>
                <w:lang w:val="en-US" w:eastAsia="zh-CN" w:bidi="ar"/>
              </w:rPr>
              <w:t>6</w:t>
            </w:r>
            <w:r>
              <w:rPr>
                <w:rFonts w:hint="eastAsia" w:ascii="宋体" w:hAnsi="宋体" w:eastAsia="宋体" w:cs="宋体"/>
                <w:snapToGrid w:val="0"/>
                <w:color w:val="auto"/>
                <w:kern w:val="0"/>
                <w:sz w:val="18"/>
                <w:szCs w:val="18"/>
                <w:lang w:val="en-US" w:eastAsia="zh-CN" w:bidi="ar"/>
              </w:rPr>
              <w:t>.7.2.1.1</w:t>
            </w:r>
            <w:r>
              <w:rPr>
                <w:rFonts w:hint="eastAsia" w:ascii="宋体" w:hAnsi="宋体" w:eastAsia="宋体" w:cs="宋体"/>
                <w:color w:val="auto"/>
                <w:spacing w:val="8"/>
                <w:kern w:val="0"/>
                <w:sz w:val="18"/>
                <w:szCs w:val="18"/>
                <w:highlight w:val="none"/>
                <w:vertAlign w:val="baseline"/>
                <w:lang w:val="en-US" w:eastAsia="zh-CN" w:bidi="ar-SA"/>
              </w:rPr>
              <w:t>～3各项</w:t>
            </w:r>
          </w:p>
        </w:tc>
        <w:tc>
          <w:tcPr>
            <w:tcW w:w="2393" w:type="dxa"/>
            <w:vAlign w:val="center"/>
          </w:tcPr>
          <w:p w14:paraId="4AD981A0">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.7.1</w:t>
            </w:r>
          </w:p>
          <w:p w14:paraId="11C0F61B">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.7.2</w:t>
            </w:r>
          </w:p>
        </w:tc>
        <w:tc>
          <w:tcPr>
            <w:tcW w:w="2393" w:type="dxa"/>
            <w:vAlign w:val="center"/>
          </w:tcPr>
          <w:p w14:paraId="5B7F6186">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color w:val="auto"/>
                <w:spacing w:val="8"/>
                <w:kern w:val="0"/>
                <w:sz w:val="18"/>
                <w:szCs w:val="18"/>
                <w:highlight w:val="none"/>
                <w:vertAlign w:val="baseline"/>
                <w:lang w:val="en-US" w:eastAsia="zh-CN" w:bidi="ar-SA"/>
              </w:rPr>
            </w:pPr>
            <w:r>
              <w:rPr>
                <w:rFonts w:hint="eastAsia" w:ascii="宋体" w:hAnsi="宋体" w:cs="宋体"/>
                <w:color w:val="auto"/>
                <w:spacing w:val="8"/>
                <w:kern w:val="0"/>
                <w:sz w:val="18"/>
                <w:szCs w:val="18"/>
                <w:highlight w:val="none"/>
                <w:vertAlign w:val="baseline"/>
                <w:lang w:val="en-US" w:eastAsia="zh-CN" w:bidi="ar-SA"/>
              </w:rPr>
              <w:t>6</w:t>
            </w:r>
            <w:r>
              <w:rPr>
                <w:rFonts w:hint="eastAsia" w:ascii="宋体" w:hAnsi="宋体" w:eastAsia="宋体" w:cs="宋体"/>
                <w:color w:val="auto"/>
                <w:spacing w:val="8"/>
                <w:kern w:val="0"/>
                <w:sz w:val="18"/>
                <w:szCs w:val="18"/>
                <w:highlight w:val="none"/>
                <w:vertAlign w:val="baseline"/>
                <w:lang w:val="en-US" w:eastAsia="zh-CN" w:bidi="ar-SA"/>
              </w:rPr>
              <w:t>.7</w:t>
            </w:r>
          </w:p>
        </w:tc>
      </w:tr>
    </w:tbl>
    <w:p w14:paraId="4841444B">
      <w:pPr>
        <w:pStyle w:val="258"/>
        <w:keepNext w:val="0"/>
        <w:keepLines w:val="0"/>
        <w:pageBreakBefore w:val="0"/>
        <w:widowControl/>
        <w:wordWrap/>
        <w:overflowPunct/>
        <w:topLinePunct w:val="0"/>
        <w:bidi w:val="0"/>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黑体" w:hAnsi="黑体" w:eastAsia="黑体" w:cs="黑体"/>
          <w:color w:val="auto"/>
          <w:spacing w:val="8"/>
          <w:sz w:val="21"/>
          <w:szCs w:val="21"/>
          <w:highlight w:val="none"/>
          <w:lang w:val="en-US" w:eastAsia="zh-CN"/>
        </w:rPr>
        <w:t xml:space="preserve">7.2.2.2  </w:t>
      </w:r>
      <w:r>
        <w:rPr>
          <w:rFonts w:hint="eastAsia" w:ascii="宋体" w:hAnsi="宋体" w:eastAsia="宋体" w:cs="宋体"/>
          <w:color w:val="auto"/>
          <w:spacing w:val="8"/>
          <w:sz w:val="21"/>
          <w:szCs w:val="21"/>
          <w:highlight w:val="none"/>
          <w:lang w:val="en-US" w:eastAsia="zh-CN"/>
        </w:rPr>
        <w:t>建筑电气被测部分火灾危险评定采用现场直观检查和仪器测试两种检测方式进行综合评价，分为良、中、差三种评价结论。</w:t>
      </w:r>
    </w:p>
    <w:p w14:paraId="67AE7F0E">
      <w:pPr>
        <w:pStyle w:val="258"/>
        <w:keepNext w:val="0"/>
        <w:keepLines w:val="0"/>
        <w:pageBreakBefore w:val="0"/>
        <w:widowControl/>
        <w:wordWrap/>
        <w:overflowPunct/>
        <w:topLinePunct w:val="0"/>
        <w:bidi w:val="0"/>
        <w:spacing w:line="240" w:lineRule="auto"/>
        <w:ind w:left="0" w:leftChars="0" w:firstLine="0" w:firstLineChars="0"/>
        <w:rPr>
          <w:rFonts w:hint="eastAsia" w:ascii="宋体" w:hAnsi="宋体" w:eastAsia="宋体" w:cs="宋体"/>
          <w:color w:val="auto"/>
          <w:spacing w:val="8"/>
          <w:sz w:val="21"/>
          <w:szCs w:val="21"/>
          <w:highlight w:val="none"/>
          <w:lang w:val="en-US" w:eastAsia="zh-CN"/>
        </w:rPr>
      </w:pPr>
      <w:r>
        <w:rPr>
          <w:rFonts w:hint="eastAsia" w:ascii="黑体" w:hAnsi="黑体" w:eastAsia="黑体" w:cs="黑体"/>
          <w:color w:val="auto"/>
          <w:spacing w:val="8"/>
          <w:sz w:val="21"/>
          <w:szCs w:val="21"/>
          <w:highlight w:val="none"/>
          <w:lang w:val="en-US" w:eastAsia="zh-CN"/>
        </w:rPr>
        <w:t xml:space="preserve">7.2.2.3  </w:t>
      </w:r>
      <w:r>
        <w:rPr>
          <w:rFonts w:hint="eastAsia" w:ascii="宋体" w:hAnsi="宋体" w:eastAsia="宋体" w:cs="宋体"/>
          <w:color w:val="auto"/>
          <w:spacing w:val="8"/>
          <w:sz w:val="21"/>
          <w:szCs w:val="21"/>
          <w:highlight w:val="none"/>
          <w:lang w:val="en-US" w:eastAsia="zh-CN"/>
        </w:rPr>
        <w:t>根据本标准规定，通过现场直观检查和仪器测试，确定被测部分的危险等级，按A、B、C类缺陷分类统计，根据下列规则评定结果：</w:t>
      </w:r>
    </w:p>
    <w:p w14:paraId="77DC6162">
      <w:pPr>
        <w:keepNext w:val="0"/>
        <w:keepLines w:val="0"/>
        <w:pageBreakBefore w:val="0"/>
        <w:widowControl/>
        <w:suppressLineNumbers w:val="0"/>
        <w:wordWrap/>
        <w:overflowPunct/>
        <w:topLinePunct w:val="0"/>
        <w:bidi w:val="0"/>
        <w:spacing w:line="240" w:lineRule="auto"/>
        <w:ind w:firstLine="45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评价：</w:t>
      </w:r>
      <w:r>
        <w:rPr>
          <w:rFonts w:hint="eastAsia" w:ascii="宋体" w:hAnsi="宋体" w:eastAsia="宋体" w:cs="宋体"/>
          <w:snapToGrid w:val="0"/>
          <w:color w:val="auto"/>
          <w:kern w:val="0"/>
          <w:sz w:val="21"/>
          <w:szCs w:val="21"/>
          <w:highlight w:val="none"/>
          <w:lang w:val="en-US" w:eastAsia="zh-CN" w:bidi="ar"/>
        </w:rPr>
        <w:t>A≥1</w:t>
      </w:r>
      <w:r>
        <w:rPr>
          <w:rFonts w:hint="eastAsia" w:ascii="宋体"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评定结果：差 </w:t>
      </w:r>
    </w:p>
    <w:p w14:paraId="41A4C6D0">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不属于上述范围，则将检测结果通过被测部分火灾危险等级系数，</w:t>
      </w:r>
      <w:r>
        <w:rPr>
          <w:rFonts w:hint="eastAsia" w:ascii="宋体" w:hAnsi="宋体" w:eastAsia="宋体" w:cs="宋体"/>
          <w:color w:val="auto"/>
          <w:spacing w:val="8"/>
          <w:sz w:val="21"/>
          <w:szCs w:val="21"/>
          <w:highlight w:val="none"/>
          <w:lang w:val="en-US" w:eastAsia="zh-CN"/>
        </w:rPr>
        <w:t>确定被测部分的危险等级，现给出被测部位火灾危险等级系数计算公式如下</w:t>
      </w:r>
      <w:r>
        <w:rPr>
          <w:rFonts w:hint="eastAsia" w:ascii="宋体" w:hAnsi="宋体" w:eastAsia="宋体" w:cs="宋体"/>
          <w:snapToGrid w:val="0"/>
          <w:color w:val="auto"/>
          <w:kern w:val="0"/>
          <w:sz w:val="21"/>
          <w:szCs w:val="21"/>
          <w:highlight w:val="none"/>
          <w:lang w:val="en-US" w:eastAsia="zh-CN" w:bidi="ar"/>
        </w:rPr>
        <w:t>：</w:t>
      </w:r>
    </w:p>
    <w:p w14:paraId="6431A6F5">
      <w:pPr>
        <w:pStyle w:val="350"/>
        <w:bidi w:val="0"/>
        <w:textAlignment w:val="bottom"/>
        <w:rPr>
          <w:rFonts w:hint="eastAsia" w:ascii="宋体" w:hAnsi="宋体" w:eastAsia="宋体" w:cs="宋体"/>
          <w:snapToGrid w:val="0"/>
          <w:color w:val="auto"/>
          <w:kern w:val="0"/>
          <w:sz w:val="21"/>
          <w:szCs w:val="21"/>
          <w:highlight w:val="none"/>
          <w:lang w:val="en-US" w:eastAsia="zh-CN" w:bidi="ar"/>
        </w:rPr>
      </w:pPr>
      <w:r>
        <w:rPr>
          <w:rFonts w:hint="eastAsia" w:hAnsi="宋体" w:cs="宋体"/>
          <w:snapToGrid w:val="0"/>
          <w:color w:val="auto"/>
          <w:kern w:val="0"/>
          <w:sz w:val="21"/>
          <w:szCs w:val="21"/>
          <w:highlight w:val="none"/>
          <w:lang w:val="en-US" w:eastAsia="zh-CN" w:bidi="ar"/>
        </w:rPr>
        <w:tab/>
      </w:r>
      <w:r>
        <w:rPr>
          <w:rFonts w:hint="eastAsia" w:ascii="宋体" w:hAnsi="宋体" w:eastAsia="宋体" w:cs="宋体"/>
          <w:i w:val="0"/>
          <w:iCs w:val="0"/>
          <w:snapToGrid w:val="0"/>
          <w:color w:val="auto"/>
          <w:kern w:val="0"/>
          <w:position w:val="-24"/>
          <w:sz w:val="21"/>
          <w:szCs w:val="21"/>
          <w:highlight w:val="none"/>
          <w:lang w:val="en-US" w:eastAsia="zh-CN" w:bidi="ar"/>
        </w:rPr>
        <w:object>
          <v:shape id="_x0000_i1033" o:spt="75" type="#_x0000_t75" style="height:31pt;width:63pt;" o:ole="t" filled="f" o:preferrelative="t" stroked="f" coordsize="21600,21600">
            <v:path/>
            <v:fill on="f" focussize="0,0"/>
            <v:stroke on="f"/>
            <v:imagedata r:id="rId35" o:title=""/>
            <o:lock v:ext="edit" aspectratio="t"/>
            <w10:wrap type="none"/>
            <w10:anchorlock/>
          </v:shape>
          <o:OLEObject Type="Embed" ProgID="Equation.KSEE3" ShapeID="_x0000_i1033" DrawAspect="Content" ObjectID="_1468075733" r:id="rId34">
            <o:LockedField>false</o:LockedField>
          </o:OLEObject>
        </w:object>
      </w:r>
      <w:r>
        <w:rPr>
          <w:rFonts w:hint="eastAsia" w:hAnsi="宋体" w:cs="宋体"/>
          <w:snapToGrid w:val="0"/>
          <w:color w:val="auto"/>
          <w:kern w:val="0"/>
          <w:sz w:val="21"/>
          <w:szCs w:val="21"/>
          <w:highlight w:val="none"/>
          <w:lang w:val="en-US" w:eastAsia="zh-CN" w:bidi="ar"/>
        </w:rPr>
        <w:tab/>
      </w:r>
      <w:r>
        <w:rPr>
          <w:rFonts w:hint="eastAsia" w:hAnsi="宋体" w:cs="宋体"/>
          <w:snapToGrid w:val="0"/>
          <w:color w:val="auto"/>
          <w:kern w:val="0"/>
          <w:sz w:val="21"/>
          <w:szCs w:val="21"/>
          <w:highlight w:val="none"/>
          <w:lang w:val="en-US" w:eastAsia="zh-CN" w:bidi="ar"/>
        </w:rPr>
        <w:t>(</w:t>
      </w:r>
      <w:r>
        <w:rPr>
          <w:rFonts w:hint="eastAsia" w:hAnsi="宋体" w:cs="宋体"/>
          <w:snapToGrid w:val="0"/>
          <w:color w:val="auto"/>
          <w:kern w:val="0"/>
          <w:sz w:val="21"/>
          <w:szCs w:val="21"/>
          <w:highlight w:val="none"/>
          <w:lang w:val="en-US" w:eastAsia="zh-CN" w:bidi="ar"/>
        </w:rPr>
        <w:fldChar w:fldCharType="begin"/>
      </w:r>
      <w:r>
        <w:rPr>
          <w:rFonts w:hint="eastAsia" w:hAnsi="宋体" w:cs="宋体"/>
          <w:snapToGrid w:val="0"/>
          <w:color w:val="auto"/>
          <w:kern w:val="0"/>
          <w:sz w:val="21"/>
          <w:szCs w:val="21"/>
          <w:highlight w:val="none"/>
          <w:lang w:val="en-US" w:eastAsia="zh-CN" w:bidi="ar"/>
        </w:rPr>
        <w:instrText xml:space="preserve"> SEQ 自动公式编号 \* ARABIC </w:instrText>
      </w:r>
      <w:r>
        <w:rPr>
          <w:rFonts w:hint="eastAsia" w:hAnsi="宋体" w:cs="宋体"/>
          <w:snapToGrid w:val="0"/>
          <w:color w:val="auto"/>
          <w:kern w:val="0"/>
          <w:sz w:val="21"/>
          <w:szCs w:val="21"/>
          <w:highlight w:val="none"/>
          <w:lang w:val="en-US" w:eastAsia="zh-CN" w:bidi="ar"/>
        </w:rPr>
        <w:fldChar w:fldCharType="separate"/>
      </w:r>
      <w:r>
        <w:rPr>
          <w:rFonts w:hint="eastAsia" w:hAnsi="宋体" w:cs="宋体"/>
          <w:snapToGrid w:val="0"/>
          <w:color w:val="auto"/>
          <w:kern w:val="0"/>
          <w:sz w:val="21"/>
          <w:szCs w:val="21"/>
          <w:highlight w:val="none"/>
          <w:lang w:val="en-US" w:eastAsia="zh-CN" w:bidi="ar"/>
        </w:rPr>
        <w:t>2</w:t>
      </w:r>
      <w:r>
        <w:rPr>
          <w:rFonts w:hint="eastAsia" w:hAnsi="宋体" w:cs="宋体"/>
          <w:snapToGrid w:val="0"/>
          <w:color w:val="auto"/>
          <w:kern w:val="0"/>
          <w:sz w:val="21"/>
          <w:szCs w:val="21"/>
          <w:highlight w:val="none"/>
          <w:lang w:val="en-US" w:eastAsia="zh-CN" w:bidi="ar"/>
        </w:rPr>
        <w:fldChar w:fldCharType="end"/>
      </w:r>
      <w:r>
        <w:rPr>
          <w:rFonts w:hint="eastAsia" w:hAnsi="宋体" w:cs="宋体"/>
          <w:snapToGrid w:val="0"/>
          <w:color w:val="auto"/>
          <w:kern w:val="0"/>
          <w:sz w:val="21"/>
          <w:szCs w:val="21"/>
          <w:highlight w:val="none"/>
          <w:lang w:val="en-US" w:eastAsia="zh-CN" w:bidi="ar"/>
        </w:rPr>
        <w:t>)</w:t>
      </w:r>
    </w:p>
    <w:p w14:paraId="28AEB170">
      <w:pPr>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式中:</w:t>
      </w:r>
    </w:p>
    <w:p w14:paraId="416F41DE">
      <w:pPr>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X</w:t>
      </w:r>
      <w:r>
        <w:rPr>
          <w:rFonts w:hint="eastAsia" w:ascii="宋体" w:hAnsi="宋体" w:cs="宋体"/>
          <w:snapToGrid w:val="0"/>
          <w:color w:val="auto"/>
          <w:kern w:val="0"/>
          <w:sz w:val="21"/>
          <w:szCs w:val="21"/>
          <w:highlight w:val="none"/>
          <w:lang w:val="en-US" w:eastAsia="zh-CN" w:bidi="ar"/>
        </w:rPr>
        <w:t>——</w:t>
      </w:r>
      <w:r>
        <w:rPr>
          <w:rFonts w:hint="eastAsia" w:ascii="宋体" w:hAnsi="宋体" w:eastAsia="宋体" w:cs="宋体"/>
          <w:snapToGrid w:val="0"/>
          <w:color w:val="auto"/>
          <w:kern w:val="0"/>
          <w:sz w:val="21"/>
          <w:szCs w:val="21"/>
          <w:highlight w:val="none"/>
          <w:lang w:val="en-US" w:eastAsia="zh-CN" w:bidi="ar"/>
        </w:rPr>
        <w:t>火灾危险等级系数</w:t>
      </w:r>
      <w:r>
        <w:rPr>
          <w:rFonts w:hint="eastAsia" w:ascii="宋体" w:hAnsi="宋体" w:cs="宋体"/>
          <w:snapToGrid w:val="0"/>
          <w:color w:val="auto"/>
          <w:kern w:val="0"/>
          <w:sz w:val="21"/>
          <w:szCs w:val="21"/>
          <w:highlight w:val="none"/>
          <w:lang w:val="en-US" w:eastAsia="zh-CN" w:bidi="ar"/>
        </w:rPr>
        <w:t>；</w:t>
      </w:r>
    </w:p>
    <w:p w14:paraId="27B60995">
      <w:pPr>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Z</w:t>
      </w:r>
      <w:r>
        <w:rPr>
          <w:rFonts w:hint="eastAsia" w:ascii="宋体" w:hAnsi="宋体" w:eastAsia="宋体" w:cs="宋体"/>
          <w:snapToGrid w:val="0"/>
          <w:color w:val="auto"/>
          <w:kern w:val="0"/>
          <w:sz w:val="21"/>
          <w:szCs w:val="21"/>
          <w:highlight w:val="none"/>
          <w:vertAlign w:val="baseline"/>
          <w:lang w:val="en-US" w:eastAsia="zh-CN" w:bidi="ar"/>
        </w:rPr>
        <w:t>s</w:t>
      </w:r>
      <w:r>
        <w:rPr>
          <w:rFonts w:hint="eastAsia" w:ascii="宋体" w:hAnsi="宋体" w:cs="宋体"/>
          <w:snapToGrid w:val="0"/>
          <w:color w:val="auto"/>
          <w:kern w:val="0"/>
          <w:sz w:val="21"/>
          <w:szCs w:val="21"/>
          <w:highlight w:val="none"/>
          <w:lang w:val="en-US" w:eastAsia="zh-CN" w:bidi="ar"/>
        </w:rPr>
        <w:t>——</w:t>
      </w:r>
      <w:r>
        <w:rPr>
          <w:rFonts w:hint="eastAsia" w:ascii="宋体" w:hAnsi="宋体" w:eastAsia="宋体" w:cs="宋体"/>
          <w:snapToGrid w:val="0"/>
          <w:color w:val="auto"/>
          <w:kern w:val="0"/>
          <w:sz w:val="21"/>
          <w:szCs w:val="21"/>
          <w:highlight w:val="none"/>
          <w:lang w:val="en-US" w:eastAsia="zh-CN" w:bidi="ar"/>
        </w:rPr>
        <w:t>被测部分实际检测点数</w:t>
      </w:r>
      <w:r>
        <w:rPr>
          <w:rFonts w:hint="eastAsia" w:ascii="宋体" w:hAnsi="宋体" w:cs="宋体"/>
          <w:snapToGrid w:val="0"/>
          <w:color w:val="auto"/>
          <w:kern w:val="0"/>
          <w:sz w:val="21"/>
          <w:szCs w:val="21"/>
          <w:highlight w:val="none"/>
          <w:lang w:val="en-US" w:eastAsia="zh-CN" w:bidi="ar"/>
        </w:rPr>
        <w:t>；</w:t>
      </w:r>
    </w:p>
    <w:p w14:paraId="4F7AAA71">
      <w:pPr>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C</w:t>
      </w:r>
      <w:r>
        <w:rPr>
          <w:rFonts w:hint="eastAsia" w:ascii="宋体" w:hAnsi="宋体" w:eastAsia="宋体" w:cs="宋体"/>
          <w:snapToGrid w:val="0"/>
          <w:color w:val="auto"/>
          <w:kern w:val="0"/>
          <w:sz w:val="21"/>
          <w:szCs w:val="21"/>
          <w:highlight w:val="none"/>
          <w:vertAlign w:val="baseline"/>
          <w:lang w:val="en-US" w:eastAsia="zh-CN" w:bidi="ar"/>
        </w:rPr>
        <w:t>s</w:t>
      </w:r>
      <w:r>
        <w:rPr>
          <w:rFonts w:hint="eastAsia" w:ascii="宋体" w:hAnsi="宋体" w:cs="宋体"/>
          <w:snapToGrid w:val="0"/>
          <w:color w:val="auto"/>
          <w:kern w:val="0"/>
          <w:sz w:val="21"/>
          <w:szCs w:val="21"/>
          <w:highlight w:val="none"/>
          <w:lang w:val="en-US" w:eastAsia="zh-CN" w:bidi="ar"/>
        </w:rPr>
        <w:t>——</w:t>
      </w:r>
      <w:r>
        <w:rPr>
          <w:rFonts w:hint="eastAsia" w:ascii="宋体" w:hAnsi="宋体" w:eastAsia="宋体" w:cs="宋体"/>
          <w:snapToGrid w:val="0"/>
          <w:color w:val="auto"/>
          <w:kern w:val="0"/>
          <w:sz w:val="21"/>
          <w:szCs w:val="21"/>
          <w:highlight w:val="none"/>
          <w:lang w:val="en-US" w:eastAsia="zh-CN" w:bidi="ar"/>
        </w:rPr>
        <w:t>被测部分C级隐患点数</w:t>
      </w:r>
      <w:r>
        <w:rPr>
          <w:rFonts w:hint="eastAsia" w:ascii="宋体" w:hAnsi="宋体" w:cs="宋体"/>
          <w:snapToGrid w:val="0"/>
          <w:color w:val="auto"/>
          <w:kern w:val="0"/>
          <w:sz w:val="21"/>
          <w:szCs w:val="21"/>
          <w:highlight w:val="none"/>
          <w:lang w:val="en-US" w:eastAsia="zh-CN" w:bidi="ar"/>
        </w:rPr>
        <w:t>；</w:t>
      </w:r>
    </w:p>
    <w:p w14:paraId="38A89BBA">
      <w:pPr>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Bs</w:t>
      </w:r>
      <w:r>
        <w:rPr>
          <w:rFonts w:hint="eastAsia" w:ascii="宋体" w:hAnsi="宋体" w:cs="宋体"/>
          <w:snapToGrid w:val="0"/>
          <w:color w:val="auto"/>
          <w:kern w:val="0"/>
          <w:sz w:val="21"/>
          <w:szCs w:val="21"/>
          <w:highlight w:val="none"/>
          <w:lang w:val="en-US" w:eastAsia="zh-CN" w:bidi="ar"/>
        </w:rPr>
        <w:t>——</w:t>
      </w:r>
      <w:r>
        <w:rPr>
          <w:rFonts w:hint="eastAsia" w:ascii="宋体" w:hAnsi="宋体" w:eastAsia="宋体" w:cs="宋体"/>
          <w:snapToGrid w:val="0"/>
          <w:color w:val="auto"/>
          <w:kern w:val="0"/>
          <w:sz w:val="21"/>
          <w:szCs w:val="21"/>
          <w:highlight w:val="none"/>
          <w:lang w:val="en-US" w:eastAsia="zh-CN" w:bidi="ar"/>
        </w:rPr>
        <w:t>被测部分B级隐患点数</w:t>
      </w:r>
      <w:r>
        <w:rPr>
          <w:rFonts w:hint="eastAsia" w:ascii="宋体" w:hAnsi="宋体" w:cs="宋体"/>
          <w:snapToGrid w:val="0"/>
          <w:color w:val="auto"/>
          <w:kern w:val="0"/>
          <w:sz w:val="21"/>
          <w:szCs w:val="21"/>
          <w:highlight w:val="none"/>
          <w:lang w:val="en-US" w:eastAsia="zh-CN" w:bidi="ar"/>
        </w:rPr>
        <w:t>。</w:t>
      </w:r>
    </w:p>
    <w:p w14:paraId="165187FE">
      <w:pPr>
        <w:keepNext w:val="0"/>
        <w:keepLines w:val="0"/>
        <w:pageBreakBefore w:val="0"/>
        <w:widowControl/>
        <w:suppressLineNumbers w:val="0"/>
        <w:wordWrap/>
        <w:overflowPunct/>
        <w:topLinePunct w:val="0"/>
        <w:bidi w:val="0"/>
        <w:spacing w:line="240" w:lineRule="auto"/>
        <w:jc w:val="left"/>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得出火灾危险等级系数，根据下列规则评定结果:</w:t>
      </w:r>
    </w:p>
    <w:p w14:paraId="6E20A006">
      <w:pPr>
        <w:keepNext w:val="0"/>
        <w:keepLines w:val="0"/>
        <w:pageBreakBefore w:val="0"/>
        <w:widowControl/>
        <w:suppressLineNumbers w:val="0"/>
        <w:kinsoku/>
        <w:wordWrap/>
        <w:overflowPunct/>
        <w:topLinePunct w:val="0"/>
        <w:autoSpaceDE/>
        <w:autoSpaceDN/>
        <w:bidi w:val="0"/>
        <w:adjustRightInd/>
        <w:snapToGrid/>
        <w:spacing w:line="240" w:lineRule="auto"/>
        <w:ind w:firstLine="840" w:firstLineChars="400"/>
        <w:jc w:val="both"/>
        <w:textAlignment w:val="auto"/>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X≤0.2</w:t>
      </w:r>
      <w:r>
        <w:rPr>
          <w:rFonts w:hint="eastAsia" w:ascii="宋体" w:hAnsi="宋体" w:cs="宋体"/>
          <w:i w:val="0"/>
          <w:iCs w:val="0"/>
          <w:snapToGrid w:val="0"/>
          <w:color w:val="auto"/>
          <w:kern w:val="0"/>
          <w:sz w:val="21"/>
          <w:szCs w:val="21"/>
          <w:highlight w:val="none"/>
          <w:u w:val="none"/>
          <w:lang w:val="en-US" w:eastAsia="zh-CN" w:bidi="ar"/>
        </w:rPr>
        <w:t xml:space="preserve">     </w:t>
      </w:r>
      <w:r>
        <w:rPr>
          <w:rFonts w:hint="eastAsia" w:ascii="宋体" w:hAnsi="宋体" w:eastAsia="宋体" w:cs="宋体"/>
          <w:i w:val="0"/>
          <w:iCs w:val="0"/>
          <w:snapToGrid w:val="0"/>
          <w:color w:val="auto"/>
          <w:kern w:val="0"/>
          <w:sz w:val="21"/>
          <w:szCs w:val="21"/>
          <w:highlight w:val="none"/>
          <w:u w:val="none"/>
          <w:lang w:val="en-US" w:eastAsia="zh-CN" w:bidi="ar"/>
        </w:rPr>
        <w:t>评定结果为：良（存在轻微电气火灾隐患）</w:t>
      </w:r>
    </w:p>
    <w:p w14:paraId="3BC0AF80">
      <w:pPr>
        <w:keepNext w:val="0"/>
        <w:keepLines w:val="0"/>
        <w:pageBreakBefore w:val="0"/>
        <w:widowControl/>
        <w:suppressLineNumbers w:val="0"/>
        <w:wordWrap/>
        <w:overflowPunct/>
        <w:topLinePunct w:val="0"/>
        <w:bidi w:val="0"/>
        <w:spacing w:line="240" w:lineRule="auto"/>
        <w:ind w:left="0" w:leftChars="0" w:firstLine="420" w:firstLineChars="200"/>
        <w:jc w:val="both"/>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0.2＜X≤0.3</w:t>
      </w:r>
      <w:r>
        <w:rPr>
          <w:rFonts w:hint="eastAsia" w:ascii="宋体" w:hAnsi="宋体" w:eastAsia="宋体" w:cs="宋体"/>
          <w:snapToGrid w:val="0"/>
          <w:color w:val="auto"/>
          <w:kern w:val="0"/>
          <w:sz w:val="21"/>
          <w:szCs w:val="21"/>
          <w:highlight w:val="none"/>
          <w:lang w:val="en-US" w:eastAsia="zh-CN" w:bidi="ar"/>
        </w:rPr>
        <w:t xml:space="preserve">    评定结果为：中</w:t>
      </w:r>
      <w:r>
        <w:rPr>
          <w:rFonts w:hint="eastAsia" w:ascii="宋体" w:hAnsi="宋体" w:eastAsia="宋体" w:cs="宋体"/>
          <w:i w:val="0"/>
          <w:iCs w:val="0"/>
          <w:snapToGrid w:val="0"/>
          <w:color w:val="auto"/>
          <w:kern w:val="0"/>
          <w:sz w:val="21"/>
          <w:szCs w:val="21"/>
          <w:highlight w:val="none"/>
          <w:u w:val="none"/>
          <w:lang w:val="en-US" w:eastAsia="zh-CN" w:bidi="ar"/>
        </w:rPr>
        <w:t>（存在一般电气火灾隐患）</w:t>
      </w:r>
    </w:p>
    <w:p w14:paraId="277D1E72">
      <w:pPr>
        <w:pStyle w:val="258"/>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snapToGrid w:val="0"/>
          <w:color w:val="auto"/>
          <w:kern w:val="0"/>
          <w:sz w:val="21"/>
          <w:szCs w:val="21"/>
          <w:highlight w:val="none"/>
          <w:lang w:val="en-US" w:eastAsia="zh-CN" w:bidi="ar"/>
        </w:rPr>
        <w:t xml:space="preserve">X＞0.3   </w:t>
      </w:r>
      <w:r>
        <w:rPr>
          <w:rFonts w:hint="eastAsia" w:ascii="宋体" w:hAnsi="宋体" w:cs="宋体"/>
          <w:snapToGrid w:val="0"/>
          <w:color w:val="auto"/>
          <w:kern w:val="0"/>
          <w:sz w:val="21"/>
          <w:szCs w:val="21"/>
          <w:highlight w:val="none"/>
          <w:lang w:val="en-US" w:eastAsia="zh-CN" w:bidi="ar"/>
        </w:rPr>
        <w:t xml:space="preserve"> </w:t>
      </w:r>
      <w:r>
        <w:rPr>
          <w:rFonts w:hint="eastAsia" w:hAnsi="宋体" w:cs="宋体"/>
          <w:snapToGrid w:val="0"/>
          <w:color w:val="auto"/>
          <w:kern w:val="0"/>
          <w:sz w:val="21"/>
          <w:szCs w:val="21"/>
          <w:highlight w:val="non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评定结果为：差</w:t>
      </w:r>
      <w:r>
        <w:rPr>
          <w:rFonts w:hint="eastAsia" w:ascii="宋体" w:hAnsi="宋体" w:eastAsia="宋体" w:cs="宋体"/>
          <w:i w:val="0"/>
          <w:iCs w:val="0"/>
          <w:snapToGrid w:val="0"/>
          <w:color w:val="auto"/>
          <w:kern w:val="0"/>
          <w:sz w:val="21"/>
          <w:szCs w:val="21"/>
          <w:highlight w:val="none"/>
          <w:u w:val="none"/>
          <w:lang w:val="en-US" w:eastAsia="zh-CN" w:bidi="ar"/>
        </w:rPr>
        <w:t>（存在严重电气火灾隐患）</w:t>
      </w:r>
    </w:p>
    <w:p w14:paraId="0413F940">
      <w:pPr>
        <w:pStyle w:val="259"/>
        <w:bidi w:val="0"/>
        <w:rPr>
          <w:rFonts w:hint="eastAsia"/>
          <w:color w:val="auto"/>
          <w:lang w:val="en-US" w:eastAsia="zh-CN"/>
        </w:rPr>
      </w:pPr>
      <w:bookmarkStart w:id="505" w:name="_Toc19392"/>
      <w:bookmarkStart w:id="506" w:name="_Toc6444"/>
      <w:bookmarkStart w:id="507" w:name="_Toc10756"/>
      <w:bookmarkStart w:id="508" w:name="_Toc10743"/>
      <w:bookmarkStart w:id="509" w:name="_Toc9774"/>
      <w:bookmarkStart w:id="510" w:name="_Toc15593"/>
      <w:bookmarkStart w:id="511" w:name="_Toc23024"/>
      <w:bookmarkStart w:id="512" w:name="_Toc26928"/>
      <w:bookmarkStart w:id="513" w:name="_Toc10395"/>
      <w:bookmarkStart w:id="514" w:name="_Toc17258"/>
      <w:bookmarkStart w:id="515" w:name="_Toc27579"/>
      <w:bookmarkStart w:id="516" w:name="_Toc7859"/>
      <w:r>
        <w:rPr>
          <w:rFonts w:hint="eastAsia" w:hAnsi="Times New Roman" w:cs="Times New Roman"/>
          <w:color w:val="auto"/>
          <w:lang w:val="en-US" w:eastAsia="zh-CN"/>
        </w:rPr>
        <w:t>检测记录与报告</w:t>
      </w:r>
      <w:bookmarkEnd w:id="505"/>
      <w:bookmarkEnd w:id="506"/>
      <w:bookmarkEnd w:id="507"/>
      <w:bookmarkEnd w:id="508"/>
      <w:bookmarkEnd w:id="509"/>
      <w:bookmarkEnd w:id="510"/>
      <w:bookmarkEnd w:id="511"/>
      <w:bookmarkEnd w:id="512"/>
      <w:bookmarkEnd w:id="513"/>
      <w:bookmarkEnd w:id="514"/>
      <w:bookmarkEnd w:id="515"/>
      <w:bookmarkEnd w:id="516"/>
    </w:p>
    <w:p w14:paraId="75ABDB05">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2"/>
        <w:rPr>
          <w:rFonts w:hint="default" w:ascii="黑体" w:hAnsi="黑体" w:eastAsia="黑体" w:cs="黑体"/>
          <w:snapToGrid w:val="0"/>
          <w:color w:val="auto"/>
          <w:spacing w:val="8"/>
          <w:kern w:val="0"/>
          <w:sz w:val="21"/>
          <w:szCs w:val="21"/>
          <w:lang w:val="en-US" w:eastAsia="zh-CN"/>
        </w:rPr>
      </w:pPr>
      <w:bookmarkStart w:id="517" w:name="_Toc13879"/>
      <w:bookmarkStart w:id="518" w:name="_Toc5393"/>
      <w:bookmarkStart w:id="519" w:name="_Toc2893"/>
      <w:bookmarkStart w:id="520" w:name="_Toc5391"/>
      <w:bookmarkStart w:id="521" w:name="_Toc4414"/>
      <w:bookmarkStart w:id="522" w:name="_Toc19987"/>
      <w:bookmarkStart w:id="523" w:name="_Toc6607"/>
      <w:bookmarkStart w:id="524" w:name="_Toc8216"/>
      <w:bookmarkStart w:id="525" w:name="_Toc22619"/>
      <w:bookmarkStart w:id="526" w:name="_Toc17668"/>
      <w:bookmarkStart w:id="527" w:name="_Toc5549"/>
      <w:bookmarkStart w:id="528" w:name="_Toc5413"/>
      <w:bookmarkStart w:id="529" w:name="_Toc9378"/>
      <w:bookmarkStart w:id="530" w:name="_Toc14123"/>
      <w:bookmarkStart w:id="531" w:name="_Toc25227"/>
      <w:bookmarkStart w:id="532" w:name="_Toc16792"/>
      <w:bookmarkStart w:id="533" w:name="_Toc23797"/>
      <w:bookmarkStart w:id="534" w:name="_Toc22582"/>
      <w:bookmarkStart w:id="535" w:name="_Toc3103"/>
      <w:bookmarkStart w:id="536" w:name="_Toc2073"/>
      <w:bookmarkStart w:id="537" w:name="_Toc10178"/>
      <w:bookmarkStart w:id="538" w:name="_Toc22416"/>
      <w:bookmarkStart w:id="539" w:name="_Toc22616"/>
      <w:bookmarkStart w:id="540" w:name="_Toc15292"/>
      <w:r>
        <w:rPr>
          <w:rFonts w:hint="eastAsia" w:hAnsi="黑体" w:cs="黑体"/>
          <w:snapToGrid w:val="0"/>
          <w:color w:val="auto"/>
          <w:spacing w:val="8"/>
          <w:kern w:val="0"/>
          <w:sz w:val="21"/>
          <w:szCs w:val="21"/>
          <w:lang w:val="en-US" w:eastAsia="zh-CN"/>
        </w:rPr>
        <w:t>8</w:t>
      </w:r>
      <w:r>
        <w:rPr>
          <w:rFonts w:hint="eastAsia" w:ascii="黑体" w:hAnsi="黑体" w:eastAsia="黑体" w:cs="黑体"/>
          <w:snapToGrid w:val="0"/>
          <w:color w:val="auto"/>
          <w:spacing w:val="8"/>
          <w:kern w:val="0"/>
          <w:sz w:val="21"/>
          <w:szCs w:val="21"/>
          <w:lang w:val="en-US" w:eastAsia="zh-CN"/>
        </w:rPr>
        <w:t xml:space="preserve">.1 </w:t>
      </w:r>
      <w:r>
        <w:rPr>
          <w:rFonts w:hint="eastAsia" w:hAnsi="黑体" w:cs="黑体"/>
          <w:snapToGrid w:val="0"/>
          <w:color w:val="auto"/>
          <w:spacing w:val="8"/>
          <w:kern w:val="0"/>
          <w:sz w:val="21"/>
          <w:szCs w:val="21"/>
          <w:lang w:val="en-US" w:eastAsia="zh-CN"/>
        </w:rPr>
        <w:t xml:space="preserve"> </w:t>
      </w:r>
      <w:r>
        <w:rPr>
          <w:rFonts w:hint="eastAsia" w:ascii="黑体" w:hAnsi="黑体" w:eastAsia="黑体" w:cs="黑体"/>
          <w:snapToGrid w:val="0"/>
          <w:color w:val="auto"/>
          <w:spacing w:val="8"/>
          <w:kern w:val="0"/>
          <w:sz w:val="21"/>
          <w:szCs w:val="21"/>
          <w:lang w:val="en-US" w:eastAsia="zh-CN"/>
        </w:rPr>
        <w:t>检测记录要求</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672F06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outlineLvl w:val="9"/>
        <w:rPr>
          <w:rFonts w:hint="default" w:ascii="宋体" w:hAnsi="宋体" w:eastAsia="宋体" w:cs="宋体"/>
          <w:snapToGrid w:val="0"/>
          <w:color w:val="auto"/>
          <w:kern w:val="0"/>
          <w:sz w:val="21"/>
          <w:szCs w:val="21"/>
          <w:lang w:val="en-US" w:eastAsia="zh-CN" w:bidi="ar"/>
        </w:rPr>
      </w:pPr>
      <w:r>
        <w:rPr>
          <w:rFonts w:hint="eastAsia" w:ascii="黑体" w:hAnsi="黑体" w:eastAsia="黑体" w:cs="黑体"/>
          <w:color w:val="auto"/>
          <w:spacing w:val="8"/>
          <w:kern w:val="0"/>
          <w:sz w:val="21"/>
          <w:szCs w:val="21"/>
          <w:highlight w:val="none"/>
          <w:lang w:val="en-US" w:eastAsia="zh-CN" w:bidi="ar-SA"/>
        </w:rPr>
        <w:t xml:space="preserve">8.1.1  </w:t>
      </w:r>
      <w:r>
        <w:rPr>
          <w:rFonts w:hint="eastAsia" w:ascii="宋体" w:hAnsi="宋体" w:eastAsia="宋体" w:cs="宋体"/>
          <w:snapToGrid w:val="0"/>
          <w:color w:val="auto"/>
          <w:kern w:val="0"/>
          <w:sz w:val="21"/>
          <w:szCs w:val="21"/>
          <w:lang w:val="en-US" w:eastAsia="zh-CN" w:bidi="ar"/>
        </w:rPr>
        <w:t>检测人员应按检测要求记录检测数据和有关信息。</w:t>
      </w:r>
    </w:p>
    <w:p w14:paraId="1B7D68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outlineLvl w:val="9"/>
        <w:rPr>
          <w:rFonts w:hint="eastAsia" w:ascii="宋体" w:hAnsi="宋体" w:eastAsia="宋体" w:cs="宋体"/>
          <w:snapToGrid w:val="0"/>
          <w:color w:val="auto"/>
          <w:kern w:val="0"/>
          <w:sz w:val="21"/>
          <w:szCs w:val="21"/>
          <w:lang w:val="zh-CN" w:eastAsia="zh-CN" w:bidi="ar"/>
        </w:rPr>
      </w:pPr>
      <w:r>
        <w:rPr>
          <w:rFonts w:hint="eastAsia" w:ascii="黑体" w:hAnsi="黑体" w:eastAsia="黑体" w:cs="黑体"/>
          <w:color w:val="auto"/>
          <w:spacing w:val="8"/>
          <w:kern w:val="0"/>
          <w:sz w:val="21"/>
          <w:szCs w:val="21"/>
          <w:highlight w:val="none"/>
          <w:lang w:val="en-US" w:eastAsia="zh-CN" w:bidi="ar-SA"/>
        </w:rPr>
        <w:t>8</w:t>
      </w:r>
      <w:r>
        <w:rPr>
          <w:rFonts w:hint="eastAsia" w:ascii="黑体" w:hAnsi="黑体" w:eastAsia="黑体" w:cs="黑体"/>
          <w:color w:val="auto"/>
          <w:spacing w:val="8"/>
          <w:kern w:val="0"/>
          <w:sz w:val="21"/>
          <w:szCs w:val="21"/>
          <w:highlight w:val="none"/>
          <w:lang w:val="en-US" w:eastAsia="en-US" w:bidi="ar-SA"/>
        </w:rPr>
        <w:t>.</w:t>
      </w:r>
      <w:r>
        <w:rPr>
          <w:rFonts w:hint="eastAsia" w:ascii="黑体" w:hAnsi="黑体" w:eastAsia="黑体" w:cs="黑体"/>
          <w:color w:val="auto"/>
          <w:spacing w:val="8"/>
          <w:kern w:val="0"/>
          <w:sz w:val="21"/>
          <w:szCs w:val="21"/>
          <w:highlight w:val="none"/>
          <w:lang w:val="en-US" w:eastAsia="zh-CN" w:bidi="ar-SA"/>
        </w:rPr>
        <w:t>1.2</w:t>
      </w:r>
      <w:r>
        <w:rPr>
          <w:rFonts w:hint="eastAsia" w:ascii="宋体" w:hAnsi="宋体" w:eastAsia="宋体" w:cs="宋体"/>
          <w:snapToGrid w:val="0"/>
          <w:color w:val="auto"/>
          <w:kern w:val="0"/>
          <w:sz w:val="21"/>
          <w:szCs w:val="21"/>
          <w:lang w:val="en-US" w:eastAsia="zh-CN" w:bidi="ar"/>
        </w:rPr>
        <w:t xml:space="preserve">  检测记录应数据准确、字迹清晰、信息完整。对于存在火灾隐患的电气设备和线路，应清晰记录隐患的内容、部位、表现形式及相关检测数据。</w:t>
      </w:r>
    </w:p>
    <w:p w14:paraId="7050D8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outlineLvl w:val="9"/>
        <w:rPr>
          <w:rFonts w:hint="default" w:ascii="宋体" w:hAnsi="宋体" w:eastAsia="宋体" w:cs="宋体"/>
          <w:snapToGrid w:val="0"/>
          <w:color w:val="auto"/>
          <w:kern w:val="0"/>
          <w:sz w:val="21"/>
          <w:szCs w:val="21"/>
          <w:lang w:val="en-US" w:eastAsia="zh-CN" w:bidi="ar"/>
        </w:rPr>
      </w:pPr>
      <w:r>
        <w:rPr>
          <w:rFonts w:hint="eastAsia" w:ascii="黑体" w:hAnsi="黑体" w:eastAsia="黑体" w:cs="黑体"/>
          <w:color w:val="auto"/>
          <w:spacing w:val="8"/>
          <w:kern w:val="0"/>
          <w:sz w:val="21"/>
          <w:szCs w:val="21"/>
          <w:highlight w:val="none"/>
          <w:lang w:val="en-US" w:eastAsia="zh-CN" w:bidi="ar-SA"/>
        </w:rPr>
        <w:t xml:space="preserve">8.1.3 </w:t>
      </w:r>
      <w:r>
        <w:rPr>
          <w:rFonts w:hint="eastAsia" w:ascii="宋体" w:hAnsi="宋体" w:eastAsia="宋体" w:cs="宋体"/>
          <w:snapToGrid w:val="0"/>
          <w:color w:val="auto"/>
          <w:kern w:val="0"/>
          <w:sz w:val="21"/>
          <w:szCs w:val="21"/>
          <w:lang w:val="en-US" w:eastAsia="zh-CN" w:bidi="ar"/>
        </w:rPr>
        <w:t xml:space="preserve"> 火灾隐患的记录可以用图像、文字等多种表述</w:t>
      </w:r>
      <w:r>
        <w:rPr>
          <w:rFonts w:hint="eastAsia" w:ascii="宋体" w:hAnsi="宋体" w:eastAsia="宋体" w:cs="宋体"/>
          <w:snapToGrid w:val="0"/>
          <w:color w:val="auto"/>
          <w:kern w:val="0"/>
          <w:sz w:val="21"/>
          <w:szCs w:val="21"/>
          <w:lang w:val="zh-CN" w:eastAsia="zh-CN" w:bidi="ar"/>
        </w:rPr>
        <w:t>方式。</w:t>
      </w:r>
    </w:p>
    <w:p w14:paraId="6BE6BFB2">
      <w:pPr>
        <w:pStyle w:val="290"/>
        <w:keepNext w:val="0"/>
        <w:keepLines w:val="0"/>
        <w:pageBreakBefore w:val="0"/>
        <w:widowControl/>
        <w:numPr>
          <w:ilvl w:val="4"/>
          <w:numId w:val="0"/>
        </w:numPr>
        <w:kinsoku/>
        <w:wordWrap/>
        <w:overflowPunct/>
        <w:topLinePunct w:val="0"/>
        <w:autoSpaceDE/>
        <w:autoSpaceDN/>
        <w:bidi w:val="0"/>
        <w:adjustRightInd/>
        <w:snapToGrid/>
        <w:spacing w:before="0" w:beforeLines="50" w:after="0" w:afterLines="50" w:line="240" w:lineRule="auto"/>
        <w:textAlignment w:val="auto"/>
        <w:outlineLvl w:val="2"/>
        <w:rPr>
          <w:rFonts w:hint="eastAsia" w:ascii="黑体" w:hAnsi="黑体" w:eastAsia="黑体" w:cs="黑体"/>
          <w:snapToGrid w:val="0"/>
          <w:color w:val="auto"/>
          <w:spacing w:val="8"/>
          <w:kern w:val="0"/>
          <w:sz w:val="21"/>
          <w:szCs w:val="21"/>
          <w:lang w:val="en-US" w:eastAsia="zh-CN"/>
        </w:rPr>
      </w:pPr>
      <w:bookmarkStart w:id="541" w:name="_Toc11072"/>
      <w:bookmarkStart w:id="542" w:name="_Toc21600"/>
      <w:bookmarkStart w:id="543" w:name="_Toc5432"/>
      <w:bookmarkStart w:id="544" w:name="_Toc25719"/>
      <w:bookmarkStart w:id="545" w:name="_Toc4111"/>
      <w:bookmarkStart w:id="546" w:name="_Toc3382"/>
      <w:bookmarkStart w:id="547" w:name="_Toc10221"/>
      <w:bookmarkStart w:id="548" w:name="_Toc3478"/>
      <w:bookmarkStart w:id="549" w:name="_Toc18591"/>
      <w:bookmarkStart w:id="550" w:name="_Toc2347"/>
      <w:bookmarkStart w:id="551" w:name="_Toc7572"/>
      <w:bookmarkStart w:id="552" w:name="_Toc9552"/>
      <w:bookmarkStart w:id="553" w:name="_Toc24775"/>
      <w:bookmarkStart w:id="554" w:name="_Toc24514"/>
      <w:bookmarkStart w:id="555" w:name="_Toc17622"/>
      <w:bookmarkStart w:id="556" w:name="_Toc14147"/>
      <w:bookmarkStart w:id="557" w:name="_Toc6301"/>
      <w:bookmarkStart w:id="558" w:name="_Toc6313"/>
      <w:bookmarkStart w:id="559" w:name="_Toc16258"/>
      <w:bookmarkStart w:id="560" w:name="_Toc11361"/>
      <w:bookmarkStart w:id="561" w:name="_Toc32551"/>
      <w:bookmarkStart w:id="562" w:name="_Toc4360"/>
      <w:bookmarkStart w:id="563" w:name="_Toc11686"/>
      <w:bookmarkStart w:id="564" w:name="_Toc6911"/>
      <w:r>
        <w:rPr>
          <w:rFonts w:hint="eastAsia" w:hAnsi="黑体" w:cs="黑体"/>
          <w:snapToGrid w:val="0"/>
          <w:color w:val="auto"/>
          <w:spacing w:val="8"/>
          <w:kern w:val="0"/>
          <w:sz w:val="21"/>
          <w:szCs w:val="21"/>
          <w:lang w:val="en-US" w:eastAsia="zh-CN"/>
        </w:rPr>
        <w:t>8</w:t>
      </w:r>
      <w:r>
        <w:rPr>
          <w:rFonts w:hint="eastAsia" w:ascii="黑体" w:hAnsi="黑体" w:eastAsia="黑体" w:cs="黑体"/>
          <w:snapToGrid w:val="0"/>
          <w:color w:val="auto"/>
          <w:spacing w:val="8"/>
          <w:kern w:val="0"/>
          <w:sz w:val="21"/>
          <w:szCs w:val="21"/>
          <w:lang w:val="en-US" w:eastAsia="zh-CN"/>
        </w:rPr>
        <w:t xml:space="preserve">.2 </w:t>
      </w:r>
      <w:r>
        <w:rPr>
          <w:rFonts w:hint="eastAsia" w:hAnsi="黑体" w:cs="黑体"/>
          <w:snapToGrid w:val="0"/>
          <w:color w:val="auto"/>
          <w:spacing w:val="8"/>
          <w:kern w:val="0"/>
          <w:sz w:val="21"/>
          <w:szCs w:val="21"/>
          <w:lang w:val="en-US" w:eastAsia="zh-CN"/>
        </w:rPr>
        <w:t xml:space="preserve"> </w:t>
      </w:r>
      <w:r>
        <w:rPr>
          <w:rFonts w:hint="eastAsia" w:ascii="黑体" w:hAnsi="黑体" w:eastAsia="黑体" w:cs="黑体"/>
          <w:snapToGrid w:val="0"/>
          <w:color w:val="auto"/>
          <w:spacing w:val="8"/>
          <w:kern w:val="0"/>
          <w:sz w:val="21"/>
          <w:szCs w:val="21"/>
          <w:lang w:val="en-US" w:eastAsia="zh-CN"/>
        </w:rPr>
        <w:t>检测报告</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Pr>
          <w:rFonts w:hint="eastAsia" w:ascii="黑体" w:hAnsi="黑体" w:eastAsia="黑体" w:cs="黑体"/>
          <w:snapToGrid w:val="0"/>
          <w:color w:val="auto"/>
          <w:spacing w:val="8"/>
          <w:kern w:val="0"/>
          <w:sz w:val="21"/>
          <w:szCs w:val="21"/>
          <w:lang w:val="en-US" w:eastAsia="zh-CN"/>
        </w:rPr>
        <w:t xml:space="preserve"> </w:t>
      </w:r>
    </w:p>
    <w:p w14:paraId="2CF87915">
      <w:pPr>
        <w:keepNext w:val="0"/>
        <w:keepLines w:val="0"/>
        <w:widowControl/>
        <w:suppressLineNumbers w:val="0"/>
        <w:jc w:val="left"/>
        <w:rPr>
          <w:color w:val="auto"/>
        </w:rPr>
      </w:pPr>
      <w:r>
        <w:rPr>
          <w:rFonts w:hint="eastAsia" w:ascii="黑体" w:hAnsi="黑体" w:eastAsia="黑体" w:cs="黑体"/>
          <w:color w:val="auto"/>
          <w:spacing w:val="8"/>
          <w:kern w:val="0"/>
          <w:sz w:val="21"/>
          <w:szCs w:val="21"/>
          <w:highlight w:val="none"/>
          <w:lang w:val="en-US" w:eastAsia="zh-CN" w:bidi="ar-SA"/>
        </w:rPr>
        <w:t>8.2.1　</w:t>
      </w:r>
      <w:r>
        <w:rPr>
          <w:rFonts w:hint="eastAsia" w:ascii="宋体" w:hAnsi="宋体" w:eastAsia="宋体" w:cs="宋体"/>
          <w:color w:val="auto"/>
          <w:kern w:val="0"/>
          <w:sz w:val="21"/>
          <w:szCs w:val="21"/>
          <w:lang w:val="en-US" w:eastAsia="zh-CN" w:bidi="ar"/>
        </w:rPr>
        <w:t>检测报告应至少包括以下基本内容：</w:t>
      </w:r>
    </w:p>
    <w:p w14:paraId="5A077C8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a)</w:t>
      </w:r>
      <w:r>
        <w:rPr>
          <w:rFonts w:hint="eastAsia" w:ascii="黑体" w:hAnsi="黑体" w:eastAsia="黑体" w:cs="黑体"/>
          <w:color w:val="auto"/>
          <w:spacing w:val="8"/>
          <w:kern w:val="0"/>
          <w:sz w:val="21"/>
          <w:szCs w:val="21"/>
          <w:highlight w:val="none"/>
          <w:lang w:val="en-US" w:eastAsia="zh-CN" w:bidi="ar-SA"/>
        </w:rPr>
        <w:t>　</w:t>
      </w:r>
      <w:r>
        <w:rPr>
          <w:rFonts w:hint="eastAsia" w:ascii="宋体" w:hAnsi="宋体" w:eastAsia="宋体" w:cs="宋体"/>
          <w:snapToGrid w:val="0"/>
          <w:color w:val="auto"/>
          <w:kern w:val="0"/>
          <w:sz w:val="21"/>
          <w:szCs w:val="21"/>
          <w:lang w:val="en-US" w:eastAsia="zh-CN" w:bidi="ar"/>
        </w:rPr>
        <w:t>检测报告名称</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编号</w:t>
      </w:r>
      <w:r>
        <w:rPr>
          <w:rFonts w:hint="eastAsia" w:ascii="宋体" w:hAnsi="宋体" w:cs="宋体"/>
          <w:snapToGrid w:val="0"/>
          <w:color w:val="auto"/>
          <w:kern w:val="0"/>
          <w:sz w:val="21"/>
          <w:szCs w:val="21"/>
          <w:lang w:val="en-US" w:eastAsia="zh-CN" w:bidi="ar"/>
        </w:rPr>
        <w:t>；</w:t>
      </w:r>
    </w:p>
    <w:p w14:paraId="51A27C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cs="宋体"/>
          <w:snapToGrid w:val="0"/>
          <w:color w:val="auto"/>
          <w:kern w:val="0"/>
          <w:sz w:val="21"/>
          <w:szCs w:val="21"/>
          <w:lang w:val="en-US" w:eastAsia="zh-CN" w:bidi="ar"/>
        </w:rPr>
      </w:pPr>
      <w:r>
        <w:rPr>
          <w:rFonts w:hint="eastAsia" w:ascii="宋体" w:hAnsi="宋体" w:cs="宋体"/>
          <w:snapToGrid w:val="0"/>
          <w:color w:val="auto"/>
          <w:kern w:val="0"/>
          <w:sz w:val="21"/>
          <w:szCs w:val="21"/>
          <w:highlight w:val="none"/>
          <w:lang w:val="en-US" w:eastAsia="zh-CN" w:bidi="ar"/>
        </w:rPr>
        <w:t>b</w:t>
      </w:r>
      <w:r>
        <w:rPr>
          <w:rFonts w:hint="eastAsia" w:ascii="宋体" w:hAnsi="宋体" w:cs="宋体"/>
          <w:color w:val="auto"/>
          <w:spacing w:val="11"/>
          <w:sz w:val="21"/>
          <w:szCs w:val="21"/>
          <w:highlight w:val="none"/>
          <w:lang w:val="en-US" w:eastAsia="zh-CN"/>
        </w:rPr>
        <w:t>)</w:t>
      </w:r>
      <w:r>
        <w:rPr>
          <w:rFonts w:hint="eastAsia" w:ascii="黑体" w:hAnsi="黑体" w:eastAsia="黑体" w:cs="黑体"/>
          <w:color w:val="auto"/>
          <w:spacing w:val="8"/>
          <w:kern w:val="0"/>
          <w:sz w:val="21"/>
          <w:szCs w:val="21"/>
          <w:highlight w:val="none"/>
          <w:lang w:val="en-US" w:eastAsia="zh-CN" w:bidi="ar-SA"/>
        </w:rPr>
        <w:t>　</w:t>
      </w:r>
      <w:r>
        <w:rPr>
          <w:rFonts w:hint="eastAsia" w:ascii="宋体" w:hAnsi="宋体" w:eastAsia="宋体" w:cs="宋体"/>
          <w:snapToGrid w:val="0"/>
          <w:color w:val="auto"/>
          <w:kern w:val="0"/>
          <w:sz w:val="21"/>
          <w:szCs w:val="21"/>
          <w:lang w:val="en-US" w:eastAsia="zh-CN" w:bidi="ar"/>
        </w:rPr>
        <w:t>检测项目基本情况及检测环境</w:t>
      </w:r>
      <w:r>
        <w:rPr>
          <w:rFonts w:hint="eastAsia" w:ascii="宋体" w:hAnsi="宋体" w:cs="宋体"/>
          <w:snapToGrid w:val="0"/>
          <w:color w:val="auto"/>
          <w:kern w:val="0"/>
          <w:sz w:val="21"/>
          <w:szCs w:val="21"/>
          <w:lang w:val="en-US" w:eastAsia="zh-CN" w:bidi="ar"/>
        </w:rPr>
        <w:t>；</w:t>
      </w:r>
    </w:p>
    <w:p w14:paraId="4B87345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default" w:ascii="宋体" w:hAnsi="宋体" w:cs="宋体"/>
          <w:snapToGrid w:val="0"/>
          <w:color w:val="auto"/>
          <w:kern w:val="0"/>
          <w:sz w:val="21"/>
          <w:szCs w:val="21"/>
          <w:lang w:val="en-US" w:eastAsia="zh-CN" w:bidi="ar"/>
        </w:rPr>
      </w:pPr>
      <w:r>
        <w:rPr>
          <w:rFonts w:hint="eastAsia" w:ascii="宋体" w:hAnsi="宋体" w:cs="宋体"/>
          <w:snapToGrid w:val="0"/>
          <w:color w:val="auto"/>
          <w:kern w:val="0"/>
          <w:sz w:val="21"/>
          <w:szCs w:val="21"/>
          <w:highlight w:val="none"/>
          <w:lang w:val="en-US" w:eastAsia="zh-CN" w:bidi="ar"/>
        </w:rPr>
        <w:t>c</w:t>
      </w:r>
      <w:r>
        <w:rPr>
          <w:rFonts w:hint="eastAsia" w:ascii="宋体" w:hAnsi="宋体" w:cs="宋体"/>
          <w:color w:val="auto"/>
          <w:spacing w:val="11"/>
          <w:sz w:val="21"/>
          <w:szCs w:val="21"/>
          <w:highlight w:val="none"/>
          <w:lang w:val="en-US" w:eastAsia="zh-CN"/>
        </w:rPr>
        <w:t>)</w:t>
      </w:r>
      <w:r>
        <w:rPr>
          <w:rFonts w:hint="eastAsia" w:ascii="宋体" w:hAnsi="宋体" w:cs="宋体"/>
          <w:snapToGrid w:val="0"/>
          <w:color w:val="auto"/>
          <w:kern w:val="0"/>
          <w:sz w:val="21"/>
          <w:szCs w:val="21"/>
          <w:lang w:val="en-US" w:eastAsia="zh-CN" w:bidi="ar"/>
        </w:rPr>
        <w:t xml:space="preserve">  检测时使用的仪器和设备；</w:t>
      </w:r>
    </w:p>
    <w:p w14:paraId="2E6890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cs="宋体"/>
          <w:snapToGrid w:val="0"/>
          <w:color w:val="auto"/>
          <w:kern w:val="0"/>
          <w:sz w:val="21"/>
          <w:szCs w:val="21"/>
          <w:highlight w:val="none"/>
          <w:lang w:val="en-US" w:eastAsia="zh-CN" w:bidi="ar"/>
        </w:rPr>
        <w:t>d</w:t>
      </w:r>
      <w:r>
        <w:rPr>
          <w:rFonts w:hint="eastAsia" w:ascii="宋体" w:hAnsi="宋体" w:cs="宋体"/>
          <w:color w:val="auto"/>
          <w:spacing w:val="11"/>
          <w:sz w:val="21"/>
          <w:szCs w:val="21"/>
          <w:highlight w:val="none"/>
          <w:lang w:val="en-US" w:eastAsia="zh-CN"/>
        </w:rPr>
        <w:t>)</w:t>
      </w:r>
      <w:r>
        <w:rPr>
          <w:rFonts w:hint="eastAsia" w:ascii="黑体" w:hAnsi="黑体" w:eastAsia="黑体" w:cs="黑体"/>
          <w:color w:val="auto"/>
          <w:spacing w:val="8"/>
          <w:kern w:val="0"/>
          <w:sz w:val="21"/>
          <w:szCs w:val="21"/>
          <w:highlight w:val="none"/>
          <w:lang w:val="en-US" w:eastAsia="zh-CN" w:bidi="ar-SA"/>
        </w:rPr>
        <w:t>　</w:t>
      </w:r>
      <w:r>
        <w:rPr>
          <w:rFonts w:hint="eastAsia" w:ascii="宋体" w:hAnsi="宋体" w:eastAsia="宋体" w:cs="宋体"/>
          <w:snapToGrid w:val="0"/>
          <w:color w:val="auto"/>
          <w:kern w:val="0"/>
          <w:sz w:val="21"/>
          <w:szCs w:val="21"/>
          <w:lang w:val="en-US" w:eastAsia="zh-CN" w:bidi="ar"/>
        </w:rPr>
        <w:t>报告的唯一性标识和每页及总页数的标识</w:t>
      </w:r>
      <w:r>
        <w:rPr>
          <w:rFonts w:hint="eastAsia" w:ascii="宋体" w:hAnsi="宋体" w:cs="宋体"/>
          <w:snapToGrid w:val="0"/>
          <w:color w:val="auto"/>
          <w:kern w:val="0"/>
          <w:sz w:val="21"/>
          <w:szCs w:val="21"/>
          <w:lang w:val="en-US" w:eastAsia="zh-CN" w:bidi="ar"/>
        </w:rPr>
        <w:t>；</w:t>
      </w:r>
    </w:p>
    <w:p w14:paraId="07A66A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highlight w:val="none"/>
          <w:lang w:val="en-US" w:eastAsia="zh-CN" w:bidi="ar"/>
        </w:rPr>
        <w:t>e</w:t>
      </w:r>
      <w:r>
        <w:rPr>
          <w:rFonts w:hint="eastAsia" w:ascii="宋体" w:hAnsi="宋体" w:cs="宋体"/>
          <w:color w:val="auto"/>
          <w:spacing w:val="11"/>
          <w:sz w:val="21"/>
          <w:szCs w:val="21"/>
          <w:highlight w:val="none"/>
          <w:lang w:val="en-US" w:eastAsia="zh-CN"/>
        </w:rPr>
        <w:t>)　</w:t>
      </w:r>
      <w:r>
        <w:rPr>
          <w:rFonts w:hint="eastAsia" w:ascii="宋体" w:hAnsi="宋体" w:eastAsia="宋体" w:cs="宋体"/>
          <w:snapToGrid w:val="0"/>
          <w:color w:val="auto"/>
          <w:kern w:val="0"/>
          <w:sz w:val="21"/>
          <w:szCs w:val="21"/>
          <w:highlight w:val="none"/>
          <w:lang w:val="en-US" w:eastAsia="zh-CN" w:bidi="ar"/>
        </w:rPr>
        <w:t>检测日期及报告签发日期；</w:t>
      </w:r>
    </w:p>
    <w:p w14:paraId="0AE165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highlight w:val="none"/>
          <w:lang w:val="en-US" w:eastAsia="zh-CN" w:bidi="ar"/>
        </w:rPr>
        <w:t>f</w:t>
      </w:r>
      <w:r>
        <w:rPr>
          <w:rFonts w:hint="eastAsia" w:ascii="宋体" w:hAnsi="宋体" w:cs="宋体"/>
          <w:color w:val="auto"/>
          <w:spacing w:val="11"/>
          <w:sz w:val="21"/>
          <w:szCs w:val="21"/>
          <w:highlight w:val="none"/>
          <w:lang w:val="en-US" w:eastAsia="zh-CN"/>
        </w:rPr>
        <w:t>)　</w:t>
      </w:r>
      <w:r>
        <w:rPr>
          <w:rFonts w:hint="eastAsia" w:ascii="宋体" w:hAnsi="宋体" w:eastAsia="宋体" w:cs="宋体"/>
          <w:snapToGrid w:val="0"/>
          <w:color w:val="auto"/>
          <w:kern w:val="0"/>
          <w:sz w:val="21"/>
          <w:szCs w:val="21"/>
          <w:highlight w:val="none"/>
          <w:lang w:val="en-US" w:eastAsia="zh-CN" w:bidi="ar"/>
        </w:rPr>
        <w:t>检测依据或执行标准；</w:t>
      </w:r>
    </w:p>
    <w:p w14:paraId="71E5F1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highlight w:val="none"/>
          <w:lang w:val="en-US" w:eastAsia="zh-CN" w:bidi="ar"/>
        </w:rPr>
        <w:t>g</w:t>
      </w:r>
      <w:r>
        <w:rPr>
          <w:rFonts w:hint="eastAsia" w:ascii="宋体" w:hAnsi="宋体" w:cs="宋体"/>
          <w:color w:val="auto"/>
          <w:spacing w:val="11"/>
          <w:sz w:val="21"/>
          <w:szCs w:val="21"/>
          <w:highlight w:val="none"/>
          <w:lang w:val="en-US" w:eastAsia="zh-CN"/>
        </w:rPr>
        <w:t>)　</w:t>
      </w:r>
      <w:r>
        <w:rPr>
          <w:rFonts w:hint="eastAsia" w:ascii="宋体" w:hAnsi="宋体" w:eastAsia="宋体" w:cs="宋体"/>
          <w:snapToGrid w:val="0"/>
          <w:color w:val="auto"/>
          <w:kern w:val="0"/>
          <w:sz w:val="21"/>
          <w:szCs w:val="21"/>
          <w:highlight w:val="none"/>
          <w:lang w:val="en-US" w:eastAsia="zh-CN" w:bidi="ar"/>
        </w:rPr>
        <w:t>检测项目、检测结论</w:t>
      </w:r>
      <w:r>
        <w:rPr>
          <w:rFonts w:hint="eastAsia" w:ascii="宋体" w:hAnsi="宋体" w:cs="宋体"/>
          <w:snapToGrid w:val="0"/>
          <w:color w:val="auto"/>
          <w:kern w:val="0"/>
          <w:sz w:val="21"/>
          <w:szCs w:val="21"/>
          <w:highlight w:val="none"/>
          <w:lang w:val="en-US" w:eastAsia="zh-CN" w:bidi="ar"/>
        </w:rPr>
        <w:t>，检测结论应指出电气火灾隐患的危害及严重程度，并提出整改意见</w:t>
      </w:r>
      <w:r>
        <w:rPr>
          <w:rFonts w:hint="eastAsia" w:ascii="宋体" w:hAnsi="宋体" w:eastAsia="宋体" w:cs="宋体"/>
          <w:snapToGrid w:val="0"/>
          <w:color w:val="auto"/>
          <w:kern w:val="0"/>
          <w:sz w:val="21"/>
          <w:szCs w:val="21"/>
          <w:highlight w:val="none"/>
          <w:lang w:val="en-US" w:eastAsia="zh-CN" w:bidi="ar"/>
        </w:rPr>
        <w:t>；</w:t>
      </w:r>
    </w:p>
    <w:p w14:paraId="1778FC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ascii="宋体" w:hAnsi="宋体" w:cs="宋体"/>
          <w:snapToGrid w:val="0"/>
          <w:color w:val="auto"/>
          <w:kern w:val="0"/>
          <w:sz w:val="21"/>
          <w:szCs w:val="21"/>
          <w:highlight w:val="none"/>
          <w:lang w:val="en-US" w:eastAsia="zh-CN" w:bidi="ar"/>
        </w:rPr>
        <w:t>h</w:t>
      </w:r>
      <w:r>
        <w:rPr>
          <w:rFonts w:hint="eastAsia" w:ascii="宋体" w:hAnsi="宋体" w:cs="宋体"/>
          <w:color w:val="auto"/>
          <w:spacing w:val="11"/>
          <w:sz w:val="21"/>
          <w:szCs w:val="21"/>
          <w:highlight w:val="none"/>
          <w:lang w:val="en-US" w:eastAsia="zh-CN"/>
        </w:rPr>
        <w:t>)　</w:t>
      </w:r>
      <w:r>
        <w:rPr>
          <w:rFonts w:hint="eastAsia" w:ascii="宋体" w:hAnsi="宋体" w:eastAsia="宋体" w:cs="宋体"/>
          <w:snapToGrid w:val="0"/>
          <w:color w:val="auto"/>
          <w:kern w:val="0"/>
          <w:sz w:val="21"/>
          <w:szCs w:val="21"/>
          <w:highlight w:val="none"/>
          <w:lang w:val="en-US" w:eastAsia="zh-CN" w:bidi="ar"/>
        </w:rPr>
        <w:t>检测机构的名称、地址及通讯信息。</w:t>
      </w:r>
    </w:p>
    <w:p w14:paraId="1F672A6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宋体" w:hAnsi="宋体" w:cs="宋体"/>
          <w:snapToGrid w:val="0"/>
          <w:color w:val="auto"/>
          <w:kern w:val="0"/>
          <w:sz w:val="21"/>
          <w:szCs w:val="21"/>
          <w:lang w:val="en-US" w:eastAsia="zh-CN" w:bidi="ar"/>
        </w:rPr>
      </w:pPr>
      <w:r>
        <w:rPr>
          <w:rFonts w:hint="eastAsia" w:ascii="黑体" w:hAnsi="黑体" w:eastAsia="黑体" w:cs="黑体"/>
          <w:color w:val="auto"/>
          <w:spacing w:val="8"/>
          <w:kern w:val="0"/>
          <w:sz w:val="21"/>
          <w:szCs w:val="21"/>
          <w:highlight w:val="none"/>
          <w:lang w:val="en-US" w:eastAsia="zh-CN" w:bidi="ar-SA"/>
        </w:rPr>
        <w:t xml:space="preserve">8.2.2  </w:t>
      </w:r>
      <w:r>
        <w:rPr>
          <w:rFonts w:hint="eastAsia" w:ascii="宋体" w:hAnsi="宋体" w:eastAsia="宋体" w:cs="宋体"/>
          <w:snapToGrid w:val="0"/>
          <w:color w:val="auto"/>
          <w:kern w:val="0"/>
          <w:sz w:val="21"/>
          <w:szCs w:val="21"/>
          <w:lang w:val="en-US" w:eastAsia="zh-CN" w:bidi="ar"/>
        </w:rPr>
        <w:t>检测报告应有检测人员、项目负责人签名，加盖检测机构公章(或检测专用章)及骑缝章</w:t>
      </w:r>
      <w:r>
        <w:rPr>
          <w:rFonts w:hint="eastAsia" w:ascii="宋体" w:hAnsi="宋体" w:cs="宋体"/>
          <w:snapToGrid w:val="0"/>
          <w:color w:val="auto"/>
          <w:kern w:val="0"/>
          <w:sz w:val="21"/>
          <w:szCs w:val="21"/>
          <w:lang w:val="en-US" w:eastAsia="zh-CN" w:bidi="ar"/>
        </w:rPr>
        <w:t>。</w:t>
      </w:r>
    </w:p>
    <w:p w14:paraId="1BDA801D">
      <w:pPr>
        <w:keepNext w:val="0"/>
        <w:keepLines w:val="0"/>
        <w:pageBreakBefore w:val="0"/>
        <w:widowControl/>
        <w:suppressLineNumbers w:val="0"/>
        <w:kinsoku w:val="0"/>
        <w:wordWrap/>
        <w:overflowPunct/>
        <w:topLinePunct w:val="0"/>
        <w:autoSpaceDE/>
        <w:autoSpaceDN/>
        <w:bidi w:val="0"/>
        <w:adjustRightInd w:val="0"/>
        <w:snapToGrid w:val="0"/>
        <w:spacing w:line="240" w:lineRule="auto"/>
        <w:ind w:firstLine="0" w:firstLineChars="0"/>
        <w:jc w:val="left"/>
        <w:textAlignment w:val="baseline"/>
        <w:rPr>
          <w:rFonts w:hint="default" w:ascii="宋体" w:hAnsi="宋体" w:cs="宋体"/>
          <w:snapToGrid w:val="0"/>
          <w:color w:val="auto"/>
          <w:kern w:val="0"/>
          <w:sz w:val="21"/>
          <w:szCs w:val="21"/>
          <w:lang w:val="en-US" w:eastAsia="zh-CN" w:bidi="ar"/>
        </w:rPr>
      </w:pPr>
      <w:r>
        <w:rPr>
          <w:rFonts w:hint="eastAsia" w:ascii="黑体" w:hAnsi="黑体" w:eastAsia="黑体" w:cs="黑体"/>
          <w:color w:val="auto"/>
          <w:spacing w:val="8"/>
          <w:kern w:val="0"/>
          <w:sz w:val="21"/>
          <w:szCs w:val="21"/>
          <w:highlight w:val="none"/>
          <w:lang w:val="en-US" w:eastAsia="zh-CN" w:bidi="ar-SA"/>
        </w:rPr>
        <w:t xml:space="preserve">8.2.3  </w:t>
      </w:r>
      <w:r>
        <w:rPr>
          <w:rFonts w:hint="eastAsia" w:ascii="宋体" w:hAnsi="宋体" w:eastAsia="宋体" w:cs="宋体"/>
          <w:snapToGrid w:val="0"/>
          <w:color w:val="auto"/>
          <w:kern w:val="0"/>
          <w:sz w:val="21"/>
          <w:szCs w:val="21"/>
          <w:lang w:val="en-US" w:eastAsia="zh-CN" w:bidi="ar"/>
        </w:rPr>
        <w:t>检测报告</w:t>
      </w:r>
      <w:r>
        <w:rPr>
          <w:rFonts w:hint="eastAsia" w:ascii="宋体" w:hAnsi="宋体" w:cs="宋体"/>
          <w:snapToGrid w:val="0"/>
          <w:color w:val="auto"/>
          <w:kern w:val="0"/>
          <w:sz w:val="21"/>
          <w:szCs w:val="21"/>
          <w:lang w:val="en-US" w:eastAsia="zh-CN" w:bidi="ar"/>
        </w:rPr>
        <w:t>样式见附录F。</w:t>
      </w:r>
    </w:p>
    <w:p w14:paraId="5711A439">
      <w:pPr>
        <w:pStyle w:val="258"/>
        <w:ind w:left="0" w:leftChars="0" w:firstLine="0" w:firstLineChars="0"/>
        <w:rPr>
          <w:rFonts w:hint="eastAsia" w:ascii="宋体" w:hAnsi="宋体" w:eastAsia="宋体" w:cs="宋体"/>
          <w:snapToGrid w:val="0"/>
          <w:color w:val="auto"/>
          <w:kern w:val="0"/>
          <w:sz w:val="21"/>
          <w:szCs w:val="21"/>
          <w:lang w:val="en-US" w:eastAsia="zh-CN" w:bidi="ar"/>
        </w:rPr>
      </w:pPr>
      <w:r>
        <w:rPr>
          <w:rFonts w:hint="eastAsia" w:ascii="黑体" w:hAnsi="黑体" w:eastAsia="黑体" w:cs="黑体"/>
          <w:color w:val="auto"/>
          <w:spacing w:val="8"/>
          <w:kern w:val="0"/>
          <w:sz w:val="21"/>
          <w:szCs w:val="21"/>
          <w:highlight w:val="none"/>
          <w:lang w:val="en-US" w:eastAsia="zh-CN" w:bidi="ar-SA"/>
        </w:rPr>
        <w:t xml:space="preserve">8.2.4  </w:t>
      </w:r>
      <w:r>
        <w:rPr>
          <w:rFonts w:hint="eastAsia" w:ascii="宋体" w:hAnsi="宋体" w:eastAsia="宋体" w:cs="宋体"/>
          <w:snapToGrid w:val="0"/>
          <w:color w:val="auto"/>
          <w:kern w:val="0"/>
          <w:sz w:val="21"/>
          <w:szCs w:val="21"/>
          <w:lang w:val="en-US" w:eastAsia="zh-CN" w:bidi="ar"/>
        </w:rPr>
        <w:t>出具的检测报告应与检测记录文档、现场视频或照片、设计图纸及相关资料等进行存档保留</w:t>
      </w:r>
      <w:r>
        <w:rPr>
          <w:rFonts w:hint="eastAsia" w:hAnsi="宋体" w:cs="宋体"/>
          <w:snapToGrid w:val="0"/>
          <w:color w:val="auto"/>
          <w:kern w:val="0"/>
          <w:sz w:val="21"/>
          <w:szCs w:val="21"/>
          <w:lang w:val="en-US" w:eastAsia="zh-CN" w:bidi="ar"/>
        </w:rPr>
        <w:t>，存档保留时间不低于6年</w:t>
      </w:r>
      <w:r>
        <w:rPr>
          <w:rFonts w:hint="eastAsia" w:ascii="宋体" w:hAnsi="宋体" w:eastAsia="宋体" w:cs="宋体"/>
          <w:snapToGrid w:val="0"/>
          <w:color w:val="auto"/>
          <w:kern w:val="0"/>
          <w:sz w:val="21"/>
          <w:szCs w:val="21"/>
          <w:lang w:val="en-US" w:eastAsia="zh-CN" w:bidi="ar"/>
        </w:rPr>
        <w:t>。</w:t>
      </w:r>
    </w:p>
    <w:p w14:paraId="103A3901">
      <w:pPr>
        <w:rPr>
          <w:rFonts w:hint="eastAsia" w:ascii="宋体" w:hAnsi="宋体" w:eastAsia="宋体" w:cs="宋体"/>
          <w:snapToGrid w:val="0"/>
          <w:color w:val="auto"/>
          <w:kern w:val="0"/>
          <w:sz w:val="21"/>
          <w:szCs w:val="21"/>
          <w:lang w:val="en-US" w:eastAsia="zh-CN" w:bidi="ar"/>
        </w:rPr>
        <w:sectPr>
          <w:headerReference r:id="rId12" w:type="first"/>
          <w:footerReference r:id="rId14" w:type="first"/>
          <w:footerReference r:id="rId13" w:type="default"/>
          <w:pgSz w:w="11907" w:h="16839"/>
          <w:pgMar w:top="1418" w:right="1134" w:bottom="1134" w:left="1418" w:header="1418" w:footer="1134" w:gutter="0"/>
          <w:lnNumType w:countBy="0" w:restart="continuous"/>
          <w:pgNumType w:fmt="decimal" w:start="1"/>
          <w:cols w:space="425" w:num="1"/>
          <w:rtlGutter w:val="0"/>
          <w:docGrid w:type="lines" w:linePitch="312" w:charSpace="0"/>
        </w:sectPr>
      </w:pPr>
    </w:p>
    <w:p w14:paraId="3BEC7F79">
      <w:pPr>
        <w:pStyle w:val="347"/>
        <w:bidi w:val="0"/>
        <w:ind w:left="0" w:leftChars="0" w:firstLine="0" w:firstLineChars="0"/>
        <w:rPr>
          <w:rFonts w:hint="eastAsia"/>
          <w:color w:val="auto"/>
          <w:lang w:val="en-US" w:eastAsia="zh-CN"/>
        </w:rPr>
      </w:pPr>
      <w:bookmarkStart w:id="565" w:name="标准附录"/>
      <w:bookmarkEnd w:id="565"/>
      <w:bookmarkStart w:id="566" w:name="_Toc18641"/>
      <w:bookmarkStart w:id="567" w:name="_Toc16343"/>
      <w:bookmarkStart w:id="568" w:name="_Toc2721"/>
      <w:bookmarkStart w:id="569" w:name="_Toc985"/>
      <w:bookmarkStart w:id="570" w:name="_Toc11501"/>
      <w:bookmarkStart w:id="571" w:name="_Toc18614"/>
      <w:bookmarkStart w:id="572" w:name="_Toc15088"/>
      <w:bookmarkStart w:id="573" w:name="_Toc19926"/>
      <w:bookmarkStart w:id="574" w:name="附录头部信息书签_1"/>
    </w:p>
    <w:p w14:paraId="5D5D49E3">
      <w:pPr>
        <w:pStyle w:val="348"/>
        <w:bidi w:val="0"/>
        <w:ind w:left="0" w:leftChars="0" w:firstLine="0" w:firstLineChars="0"/>
        <w:rPr>
          <w:rFonts w:hint="eastAsia"/>
          <w:color w:val="auto"/>
          <w:lang w:val="en-US" w:eastAsia="zh-CN"/>
        </w:rPr>
      </w:pPr>
    </w:p>
    <w:bookmarkEnd w:id="566"/>
    <w:bookmarkEnd w:id="567"/>
    <w:bookmarkEnd w:id="568"/>
    <w:bookmarkEnd w:id="569"/>
    <w:bookmarkEnd w:id="570"/>
    <w:bookmarkEnd w:id="571"/>
    <w:bookmarkEnd w:id="572"/>
    <w:bookmarkEnd w:id="573"/>
    <w:bookmarkEnd w:id="574"/>
    <w:p w14:paraId="1B167190">
      <w:pPr>
        <w:pStyle w:val="274"/>
        <w:bidi w:val="0"/>
        <w:jc w:val="center"/>
        <w:rPr>
          <w:rFonts w:hint="eastAsia"/>
          <w:color w:val="auto"/>
          <w:lang w:val="en-US" w:eastAsia="zh-CN"/>
        </w:rPr>
      </w:pPr>
      <w:bookmarkStart w:id="575" w:name="_Toc22976"/>
      <w:bookmarkStart w:id="576" w:name="_Toc31512"/>
      <w:bookmarkStart w:id="577" w:name="_Toc28050"/>
      <w:bookmarkStart w:id="578" w:name="_Toc4851"/>
      <w:bookmarkStart w:id="579" w:name="_Toc25975"/>
      <w:bookmarkStart w:id="580" w:name="_Toc19075"/>
      <w:bookmarkStart w:id="581" w:name="_Toc26988"/>
      <w:bookmarkStart w:id="582" w:name="_Toc28643"/>
      <w:bookmarkStart w:id="583" w:name="_Toc16038"/>
      <w:bookmarkStart w:id="584" w:name="附录头部信息书签_2"/>
      <w:bookmarkStart w:id="585" w:name="_Toc17058"/>
      <w:bookmarkStart w:id="586" w:name="_Toc11389"/>
      <w:bookmarkStart w:id="587" w:name="_Toc22689"/>
      <w:bookmarkStart w:id="588" w:name="_Toc26184"/>
      <w:bookmarkStart w:id="589" w:name="_Toc10763"/>
      <w:bookmarkStart w:id="590" w:name="_Toc17581"/>
      <w:r>
        <w:rPr>
          <w:rFonts w:hint="eastAsia"/>
          <w:color w:val="auto"/>
          <w:lang w:val="en-US" w:eastAsia="zh-CN"/>
        </w:rPr>
        <w:br w:type="textWrapping"/>
      </w:r>
      <w:r>
        <w:rPr>
          <w:rFonts w:hint="eastAsia"/>
          <w:color w:val="auto"/>
          <w:lang w:val="en-US" w:eastAsia="zh-CN"/>
        </w:rPr>
        <w:t>（规范性）</w:t>
      </w:r>
      <w:r>
        <w:rPr>
          <w:rFonts w:hint="eastAsia"/>
          <w:color w:val="auto"/>
          <w:lang w:val="en-US" w:eastAsia="zh-CN"/>
        </w:rPr>
        <w:br w:type="textWrapping"/>
      </w:r>
      <w:bookmarkEnd w:id="575"/>
      <w:bookmarkEnd w:id="576"/>
      <w:bookmarkEnd w:id="577"/>
      <w:r>
        <w:rPr>
          <w:rFonts w:hint="eastAsia"/>
          <w:color w:val="auto"/>
          <w:lang w:val="en-US" w:eastAsia="zh-CN"/>
        </w:rPr>
        <w:t>项目人员配置要求</w:t>
      </w:r>
      <w:bookmarkEnd w:id="578"/>
    </w:p>
    <w:p w14:paraId="63C27B4D">
      <w:pPr>
        <w:pStyle w:val="275"/>
        <w:bidi w:val="0"/>
        <w:ind w:left="0" w:leftChars="0" w:firstLine="0" w:firstLineChars="0"/>
        <w:rPr>
          <w:rFonts w:hint="default"/>
          <w:color w:val="auto"/>
          <w:lang w:val="en-US" w:eastAsia="zh-CN"/>
        </w:rPr>
      </w:pPr>
      <w:bookmarkStart w:id="591" w:name="_Toc15470"/>
      <w:bookmarkStart w:id="592" w:name="_Toc18319"/>
      <w:bookmarkStart w:id="593" w:name="_Toc26409"/>
      <w:bookmarkStart w:id="594" w:name="_Toc23445"/>
      <w:bookmarkStart w:id="595" w:name="_Toc20440"/>
      <w:bookmarkStart w:id="596" w:name="_Toc14243"/>
      <w:bookmarkStart w:id="597" w:name="_Toc29159"/>
      <w:bookmarkStart w:id="598" w:name="_Toc22970"/>
      <w:bookmarkStart w:id="599" w:name="_Toc25794"/>
      <w:bookmarkStart w:id="600" w:name="_Toc23129"/>
      <w:r>
        <w:rPr>
          <w:rFonts w:hint="eastAsia"/>
          <w:color w:val="auto"/>
          <w:lang w:val="en-US" w:eastAsia="zh-CN"/>
        </w:rPr>
        <w:t>项目人员配置要求表</w:t>
      </w:r>
      <w:bookmarkEnd w:id="591"/>
      <w:bookmarkEnd w:id="592"/>
      <w:bookmarkEnd w:id="593"/>
      <w:bookmarkEnd w:id="594"/>
      <w:bookmarkEnd w:id="595"/>
      <w:bookmarkEnd w:id="596"/>
      <w:bookmarkEnd w:id="597"/>
      <w:bookmarkEnd w:id="598"/>
      <w:bookmarkEnd w:id="599"/>
      <w:bookmarkEnd w:id="600"/>
    </w:p>
    <w:tbl>
      <w:tblPr>
        <w:tblStyle w:val="88"/>
        <w:tblW w:w="9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4"/>
        <w:gridCol w:w="2468"/>
        <w:gridCol w:w="6213"/>
      </w:tblGrid>
      <w:tr w14:paraId="7A69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C7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序号</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35B6">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人员角色</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93E3">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资质要求</w:t>
            </w:r>
          </w:p>
        </w:tc>
      </w:tr>
      <w:tr w14:paraId="46A4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42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F0D3">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项目负责人</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91C8">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注册消防工程师</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高</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低压电工证</w:t>
            </w:r>
            <w:r>
              <w:rPr>
                <w:rFonts w:hint="eastAsia" w:ascii="宋体" w:hAnsi="宋体" w:cs="宋体"/>
                <w:i w:val="0"/>
                <w:iCs w:val="0"/>
                <w:color w:val="auto"/>
                <w:sz w:val="18"/>
                <w:szCs w:val="18"/>
                <w:u w:val="none"/>
                <w:lang w:val="en-US" w:eastAsia="zh-CN"/>
              </w:rPr>
              <w:t>（或</w:t>
            </w:r>
            <w:r>
              <w:rPr>
                <w:rFonts w:hint="eastAsia" w:ascii="宋体" w:hAnsi="宋体" w:eastAsia="宋体" w:cs="宋体"/>
                <w:i w:val="0"/>
                <w:iCs w:val="0"/>
                <w:color w:val="auto"/>
                <w:sz w:val="18"/>
                <w:szCs w:val="18"/>
                <w:u w:val="none"/>
                <w:lang w:val="en-US" w:eastAsia="zh-CN"/>
              </w:rPr>
              <w:t>电气试验证</w:t>
            </w:r>
            <w:r>
              <w:rPr>
                <w:rFonts w:hint="eastAsia" w:ascii="宋体" w:hAnsi="宋体" w:cs="宋体"/>
                <w:i w:val="0"/>
                <w:iCs w:val="0"/>
                <w:color w:val="auto"/>
                <w:sz w:val="18"/>
                <w:szCs w:val="18"/>
                <w:u w:val="none"/>
                <w:lang w:val="en-US" w:eastAsia="zh-CN"/>
              </w:rPr>
              <w:t>）</w:t>
            </w:r>
          </w:p>
        </w:tc>
      </w:tr>
      <w:tr w14:paraId="1561A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D1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9540">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项目</w:t>
            </w:r>
            <w:r>
              <w:rPr>
                <w:rFonts w:hint="eastAsia" w:ascii="宋体" w:hAnsi="宋体" w:eastAsia="宋体" w:cs="宋体"/>
                <w:i w:val="0"/>
                <w:iCs w:val="0"/>
                <w:color w:val="auto"/>
                <w:sz w:val="18"/>
                <w:szCs w:val="18"/>
                <w:u w:val="none"/>
                <w:lang w:val="en-US" w:eastAsia="zh-CN"/>
              </w:rPr>
              <w:t>技术负责人</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5BE7">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一级</w:t>
            </w:r>
            <w:r>
              <w:rPr>
                <w:rFonts w:hint="eastAsia" w:ascii="宋体" w:hAnsi="宋体" w:eastAsia="宋体" w:cs="宋体"/>
                <w:i w:val="0"/>
                <w:iCs w:val="0"/>
                <w:color w:val="auto"/>
                <w:sz w:val="18"/>
                <w:szCs w:val="18"/>
                <w:u w:val="none"/>
                <w:lang w:val="en-US" w:eastAsia="zh-CN"/>
              </w:rPr>
              <w:t>注册消防工程师</w:t>
            </w:r>
            <w:r>
              <w:rPr>
                <w:rFonts w:hint="eastAsia" w:ascii="宋体" w:hAnsi="宋体" w:cs="宋体"/>
                <w:i w:val="0"/>
                <w:iCs w:val="0"/>
                <w:color w:val="auto"/>
                <w:sz w:val="18"/>
                <w:szCs w:val="18"/>
                <w:u w:val="none"/>
                <w:lang w:val="en-US" w:eastAsia="zh-CN"/>
              </w:rPr>
              <w:t>（需同时具备电气相关专业中级及以上职称）或注册电气工程师</w:t>
            </w:r>
          </w:p>
        </w:tc>
      </w:tr>
      <w:tr w14:paraId="757C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43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3</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AA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检测员</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3CD5">
            <w:pPr>
              <w:keepNext w:val="0"/>
              <w:keepLines w:val="0"/>
              <w:widowControl/>
              <w:suppressLineNumbers w:val="0"/>
              <w:jc w:val="center"/>
              <w:textAlignment w:val="bottom"/>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sz w:val="18"/>
                <w:szCs w:val="18"/>
                <w:u w:val="none"/>
                <w:lang w:val="en-US" w:eastAsia="zh-CN"/>
              </w:rPr>
              <w:t>高压电工证</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低压电工证</w:t>
            </w:r>
            <w:r>
              <w:rPr>
                <w:rFonts w:hint="eastAsia" w:ascii="宋体" w:hAnsi="宋体" w:cs="宋体"/>
                <w:i w:val="0"/>
                <w:iCs w:val="0"/>
                <w:color w:val="auto"/>
                <w:sz w:val="18"/>
                <w:szCs w:val="18"/>
                <w:u w:val="none"/>
                <w:lang w:val="en-US" w:eastAsia="zh-CN"/>
              </w:rPr>
              <w:t>（或</w:t>
            </w:r>
            <w:r>
              <w:rPr>
                <w:rFonts w:hint="eastAsia" w:ascii="宋体" w:hAnsi="宋体" w:eastAsia="宋体" w:cs="宋体"/>
                <w:i w:val="0"/>
                <w:iCs w:val="0"/>
                <w:color w:val="auto"/>
                <w:sz w:val="18"/>
                <w:szCs w:val="18"/>
                <w:u w:val="none"/>
                <w:lang w:val="en-US" w:eastAsia="zh-CN"/>
              </w:rPr>
              <w:t>电气试验证</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消防设施操作员证（</w:t>
            </w:r>
            <w:r>
              <w:rPr>
                <w:rFonts w:hint="eastAsia" w:ascii="宋体" w:hAnsi="宋体" w:cs="宋体"/>
                <w:i w:val="0"/>
                <w:iCs w:val="0"/>
                <w:color w:val="auto"/>
                <w:sz w:val="18"/>
                <w:szCs w:val="18"/>
                <w:u w:val="none"/>
                <w:lang w:val="en-US" w:eastAsia="zh-CN"/>
              </w:rPr>
              <w:t>检测</w:t>
            </w:r>
            <w:r>
              <w:rPr>
                <w:rFonts w:hint="eastAsia" w:ascii="宋体" w:hAnsi="宋体" w:eastAsia="宋体" w:cs="宋体"/>
                <w:i w:val="0"/>
                <w:iCs w:val="0"/>
                <w:color w:val="auto"/>
                <w:sz w:val="18"/>
                <w:szCs w:val="18"/>
                <w:u w:val="none"/>
                <w:lang w:val="en-US" w:eastAsia="zh-CN"/>
              </w:rPr>
              <w:t>维保方向</w:t>
            </w:r>
            <w:r>
              <w:rPr>
                <w:rFonts w:hint="eastAsia" w:ascii="宋体" w:hAnsi="宋体" w:cs="宋体"/>
                <w:i w:val="0"/>
                <w:iCs w:val="0"/>
                <w:color w:val="auto"/>
                <w:sz w:val="18"/>
                <w:szCs w:val="18"/>
                <w:u w:val="none"/>
                <w:lang w:val="en-US" w:eastAsia="zh-CN"/>
              </w:rPr>
              <w:t>、中级及以上</w:t>
            </w:r>
            <w:r>
              <w:rPr>
                <w:rFonts w:hint="eastAsia" w:ascii="宋体" w:hAnsi="宋体" w:eastAsia="宋体" w:cs="宋体"/>
                <w:i w:val="0"/>
                <w:iCs w:val="0"/>
                <w:color w:val="auto"/>
                <w:sz w:val="18"/>
                <w:szCs w:val="18"/>
                <w:u w:val="none"/>
                <w:lang w:val="en-US" w:eastAsia="zh-CN"/>
              </w:rPr>
              <w:t>）</w:t>
            </w:r>
          </w:p>
        </w:tc>
      </w:tr>
      <w:tr w14:paraId="07AC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458A5">
            <w:pPr>
              <w:pStyle w:val="258"/>
              <w:bidi w:val="0"/>
              <w:rPr>
                <w:rFonts w:hint="eastAsia"/>
                <w:color w:val="auto"/>
                <w:sz w:val="18"/>
                <w:szCs w:val="18"/>
                <w:lang w:val="en-US" w:eastAsia="zh-CN"/>
              </w:rPr>
            </w:pPr>
            <w:r>
              <w:rPr>
                <w:rFonts w:hint="eastAsia" w:ascii="黑体" w:hAnsi="黑体" w:eastAsia="黑体" w:cs="黑体"/>
                <w:color w:val="auto"/>
                <w:sz w:val="18"/>
                <w:szCs w:val="18"/>
                <w:lang w:val="en-US" w:eastAsia="zh-CN"/>
              </w:rPr>
              <w:t>注1：</w:t>
            </w:r>
            <w:r>
              <w:rPr>
                <w:rFonts w:hint="eastAsia" w:ascii="宋体" w:hAnsi="宋体" w:eastAsia="宋体" w:cs="宋体"/>
                <w:i w:val="0"/>
                <w:iCs w:val="0"/>
                <w:color w:val="auto"/>
                <w:sz w:val="18"/>
                <w:szCs w:val="18"/>
                <w:u w:val="none"/>
                <w:lang w:val="en-US" w:eastAsia="zh-CN"/>
              </w:rPr>
              <w:t>项目负责人</w:t>
            </w:r>
            <w:r>
              <w:rPr>
                <w:rFonts w:hint="eastAsia"/>
                <w:color w:val="auto"/>
                <w:sz w:val="18"/>
                <w:szCs w:val="18"/>
                <w:lang w:val="en-US" w:eastAsia="zh-CN"/>
              </w:rPr>
              <w:t>资质要求，需同时具备</w:t>
            </w:r>
            <w:r>
              <w:rPr>
                <w:rFonts w:hint="eastAsia" w:ascii="宋体" w:hAnsi="宋体" w:eastAsia="宋体" w:cs="宋体"/>
                <w:i w:val="0"/>
                <w:iCs w:val="0"/>
                <w:color w:val="auto"/>
                <w:sz w:val="18"/>
                <w:szCs w:val="18"/>
                <w:u w:val="none"/>
                <w:lang w:val="en-US" w:eastAsia="zh-CN"/>
              </w:rPr>
              <w:t>注册消防工程师</w:t>
            </w:r>
            <w:r>
              <w:rPr>
                <w:rFonts w:hint="eastAsia" w:hAnsi="宋体" w:cs="宋体"/>
                <w:i w:val="0"/>
                <w:iCs w:val="0"/>
                <w:color w:val="auto"/>
                <w:sz w:val="18"/>
                <w:szCs w:val="18"/>
                <w:u w:val="none"/>
                <w:lang w:val="en-US" w:eastAsia="zh-CN"/>
              </w:rPr>
              <w:t>和</w:t>
            </w:r>
            <w:r>
              <w:rPr>
                <w:rFonts w:hint="eastAsia" w:ascii="宋体" w:hAnsi="宋体" w:eastAsia="宋体" w:cs="宋体"/>
                <w:i w:val="0"/>
                <w:iCs w:val="0"/>
                <w:color w:val="auto"/>
                <w:sz w:val="18"/>
                <w:szCs w:val="18"/>
                <w:u w:val="none"/>
                <w:lang w:val="en-US" w:eastAsia="zh-CN"/>
              </w:rPr>
              <w:t>高</w:t>
            </w:r>
            <w:r>
              <w:rPr>
                <w:rFonts w:hint="eastAsia"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低压电工证</w:t>
            </w:r>
            <w:r>
              <w:rPr>
                <w:rFonts w:hint="eastAsia" w:hAnsi="宋体" w:cs="宋体"/>
                <w:i w:val="0"/>
                <w:iCs w:val="0"/>
                <w:color w:val="auto"/>
                <w:sz w:val="18"/>
                <w:szCs w:val="18"/>
                <w:u w:val="none"/>
                <w:lang w:val="en-US" w:eastAsia="zh-CN"/>
              </w:rPr>
              <w:t>，或者</w:t>
            </w:r>
            <w:r>
              <w:rPr>
                <w:rFonts w:hint="eastAsia"/>
                <w:color w:val="auto"/>
                <w:sz w:val="18"/>
                <w:szCs w:val="18"/>
                <w:lang w:val="en-US" w:eastAsia="zh-CN"/>
              </w:rPr>
              <w:t>同时具备</w:t>
            </w:r>
            <w:r>
              <w:rPr>
                <w:rFonts w:hint="eastAsia" w:ascii="宋体" w:hAnsi="宋体" w:eastAsia="宋体" w:cs="宋体"/>
                <w:i w:val="0"/>
                <w:iCs w:val="0"/>
                <w:color w:val="auto"/>
                <w:sz w:val="18"/>
                <w:szCs w:val="18"/>
                <w:u w:val="none"/>
                <w:lang w:val="en-US" w:eastAsia="zh-CN"/>
              </w:rPr>
              <w:t>注册消防工程师</w:t>
            </w:r>
            <w:r>
              <w:rPr>
                <w:rFonts w:hint="eastAsia" w:hAnsi="宋体" w:cs="宋体"/>
                <w:i w:val="0"/>
                <w:iCs w:val="0"/>
                <w:color w:val="auto"/>
                <w:sz w:val="18"/>
                <w:szCs w:val="18"/>
                <w:u w:val="none"/>
                <w:lang w:val="en-US" w:eastAsia="zh-CN"/>
              </w:rPr>
              <w:t>和</w:t>
            </w:r>
            <w:r>
              <w:rPr>
                <w:rFonts w:hint="eastAsia" w:ascii="宋体" w:hAnsi="宋体" w:eastAsia="宋体" w:cs="宋体"/>
                <w:i w:val="0"/>
                <w:iCs w:val="0"/>
                <w:color w:val="auto"/>
                <w:sz w:val="18"/>
                <w:szCs w:val="18"/>
                <w:u w:val="none"/>
                <w:lang w:val="en-US" w:eastAsia="zh-CN"/>
              </w:rPr>
              <w:t>电气试验证</w:t>
            </w:r>
            <w:r>
              <w:rPr>
                <w:rFonts w:hint="eastAsia"/>
                <w:color w:val="auto"/>
                <w:sz w:val="18"/>
                <w:szCs w:val="18"/>
                <w:lang w:val="en-US" w:eastAsia="zh-CN"/>
              </w:rPr>
              <w:t>。</w:t>
            </w:r>
          </w:p>
          <w:p w14:paraId="274F5ED0">
            <w:pPr>
              <w:pStyle w:val="258"/>
              <w:bidi w:val="0"/>
              <w:rPr>
                <w:rFonts w:hint="eastAsia"/>
                <w:color w:val="auto"/>
                <w:sz w:val="18"/>
                <w:szCs w:val="18"/>
                <w:lang w:val="en-US" w:eastAsia="zh-CN"/>
              </w:rPr>
            </w:pPr>
            <w:r>
              <w:rPr>
                <w:rFonts w:hint="eastAsia" w:ascii="黑体" w:hAnsi="黑体" w:eastAsia="黑体" w:cs="黑体"/>
                <w:color w:val="auto"/>
                <w:sz w:val="18"/>
                <w:szCs w:val="18"/>
                <w:lang w:val="en-US" w:eastAsia="zh-CN"/>
              </w:rPr>
              <w:t>注2：</w:t>
            </w:r>
            <w:r>
              <w:rPr>
                <w:rFonts w:hint="eastAsia" w:ascii="宋体" w:hAnsi="宋体" w:cs="宋体"/>
                <w:i w:val="0"/>
                <w:iCs w:val="0"/>
                <w:color w:val="auto"/>
                <w:sz w:val="18"/>
                <w:szCs w:val="18"/>
                <w:u w:val="none"/>
                <w:lang w:val="en-US" w:eastAsia="zh-CN"/>
              </w:rPr>
              <w:t>电气相关专业</w:t>
            </w:r>
            <w:r>
              <w:rPr>
                <w:rFonts w:hint="eastAsia" w:hAnsi="宋体" w:cs="宋体"/>
                <w:i w:val="0"/>
                <w:iCs w:val="0"/>
                <w:color w:val="auto"/>
                <w:sz w:val="18"/>
                <w:szCs w:val="18"/>
                <w:u w:val="none"/>
                <w:lang w:val="en-US" w:eastAsia="zh-CN"/>
              </w:rPr>
              <w:t>：电气、电力、机电一体化、机电工程、自动化、自动化控制等。</w:t>
            </w:r>
          </w:p>
          <w:p w14:paraId="38A0FC6D">
            <w:pPr>
              <w:pStyle w:val="258"/>
              <w:bidi w:val="0"/>
              <w:rPr>
                <w:rFonts w:hint="default"/>
                <w:color w:val="auto"/>
                <w:sz w:val="18"/>
                <w:szCs w:val="18"/>
                <w:lang w:val="en-US" w:eastAsia="zh-CN"/>
              </w:rPr>
            </w:pPr>
            <w:r>
              <w:rPr>
                <w:rFonts w:hint="eastAsia" w:ascii="黑体" w:hAnsi="黑体" w:eastAsia="黑体" w:cs="黑体"/>
                <w:color w:val="auto"/>
                <w:sz w:val="18"/>
                <w:szCs w:val="18"/>
                <w:lang w:val="en-US" w:eastAsia="zh-CN"/>
              </w:rPr>
              <w:t>注3：</w:t>
            </w:r>
            <w:r>
              <w:rPr>
                <w:rFonts w:hint="eastAsia"/>
                <w:color w:val="auto"/>
                <w:sz w:val="18"/>
                <w:szCs w:val="18"/>
                <w:lang w:val="en-US" w:eastAsia="zh-CN"/>
              </w:rPr>
              <w:t>检测员配置不少于2人，检测员需同时具备</w:t>
            </w:r>
            <w:r>
              <w:rPr>
                <w:rFonts w:hint="eastAsia" w:ascii="宋体" w:hAnsi="宋体" w:eastAsia="宋体" w:cs="宋体"/>
                <w:i w:val="0"/>
                <w:iCs w:val="0"/>
                <w:color w:val="auto"/>
                <w:sz w:val="18"/>
                <w:szCs w:val="18"/>
                <w:u w:val="none"/>
                <w:lang w:val="en-US" w:eastAsia="zh-CN"/>
              </w:rPr>
              <w:t>消防设施操作员证</w:t>
            </w:r>
            <w:r>
              <w:rPr>
                <w:rFonts w:hint="eastAsia" w:hAnsi="宋体" w:cs="宋体"/>
                <w:i w:val="0"/>
                <w:iCs w:val="0"/>
                <w:color w:val="auto"/>
                <w:sz w:val="18"/>
                <w:szCs w:val="18"/>
                <w:u w:val="none"/>
                <w:lang w:val="en-US" w:eastAsia="zh-CN"/>
              </w:rPr>
              <w:t>（含建(构)筑物消防员证书）和电工</w:t>
            </w:r>
            <w:r>
              <w:rPr>
                <w:rFonts w:hint="eastAsia" w:ascii="宋体" w:hAnsi="宋体" w:eastAsia="宋体" w:cs="宋体"/>
                <w:i w:val="0"/>
                <w:iCs w:val="0"/>
                <w:color w:val="auto"/>
                <w:sz w:val="18"/>
                <w:szCs w:val="18"/>
                <w:u w:val="none"/>
                <w:lang w:val="en-US" w:eastAsia="zh-CN"/>
              </w:rPr>
              <w:t>证</w:t>
            </w:r>
            <w:r>
              <w:rPr>
                <w:rFonts w:hint="eastAsia" w:hAnsi="宋体" w:cs="宋体"/>
                <w:i w:val="0"/>
                <w:iCs w:val="0"/>
                <w:color w:val="auto"/>
                <w:sz w:val="18"/>
                <w:szCs w:val="18"/>
                <w:u w:val="none"/>
                <w:lang w:val="en-US" w:eastAsia="zh-CN"/>
              </w:rPr>
              <w:t>（高压电工</w:t>
            </w:r>
            <w:r>
              <w:rPr>
                <w:rFonts w:hint="eastAsia" w:ascii="宋体" w:hAnsi="宋体" w:eastAsia="宋体" w:cs="宋体"/>
                <w:i w:val="0"/>
                <w:iCs w:val="0"/>
                <w:color w:val="auto"/>
                <w:sz w:val="18"/>
                <w:szCs w:val="18"/>
                <w:u w:val="none"/>
                <w:lang w:val="en-US" w:eastAsia="zh-CN"/>
              </w:rPr>
              <w:t>证</w:t>
            </w:r>
            <w:r>
              <w:rPr>
                <w:rFonts w:hint="eastAsia" w:hAnsi="宋体" w:cs="宋体"/>
                <w:i w:val="0"/>
                <w:iCs w:val="0"/>
                <w:color w:val="auto"/>
                <w:sz w:val="18"/>
                <w:szCs w:val="18"/>
                <w:u w:val="none"/>
                <w:lang w:val="en-US" w:eastAsia="zh-CN"/>
              </w:rPr>
              <w:t>和</w:t>
            </w:r>
            <w:r>
              <w:rPr>
                <w:rFonts w:hint="eastAsia" w:ascii="宋体" w:hAnsi="宋体" w:eastAsia="宋体" w:cs="宋体"/>
                <w:i w:val="0"/>
                <w:iCs w:val="0"/>
                <w:color w:val="auto"/>
                <w:sz w:val="18"/>
                <w:szCs w:val="18"/>
                <w:u w:val="none"/>
                <w:lang w:val="en-US" w:eastAsia="zh-CN"/>
              </w:rPr>
              <w:t>低压电工证</w:t>
            </w:r>
            <w:r>
              <w:rPr>
                <w:rFonts w:hint="eastAsia" w:hAnsi="宋体" w:cs="宋体"/>
                <w:i w:val="0"/>
                <w:iCs w:val="0"/>
                <w:color w:val="auto"/>
                <w:sz w:val="18"/>
                <w:szCs w:val="18"/>
                <w:u w:val="none"/>
                <w:lang w:val="en-US" w:eastAsia="zh-CN"/>
              </w:rPr>
              <w:t>各不少于1人，电气试验证持证人员，视为具备高压和低压作业资质）。</w:t>
            </w:r>
          </w:p>
        </w:tc>
      </w:tr>
    </w:tbl>
    <w:p w14:paraId="52661EB5">
      <w:pPr>
        <w:pStyle w:val="258"/>
        <w:bidi w:val="0"/>
        <w:rPr>
          <w:rFonts w:hint="eastAsia"/>
          <w:color w:val="auto"/>
          <w:sz w:val="18"/>
          <w:szCs w:val="18"/>
          <w:lang w:val="en-US" w:eastAsia="zh-CN"/>
        </w:rPr>
        <w:sectPr>
          <w:pgSz w:w="11907" w:h="16839"/>
          <w:pgMar w:top="1418" w:right="1134" w:bottom="1134" w:left="1418" w:header="1418" w:footer="1134" w:gutter="0"/>
          <w:lnNumType w:countBy="0" w:restart="continuous"/>
          <w:pgNumType w:fmt="decimal"/>
          <w:cols w:space="425" w:num="1"/>
          <w:rtlGutter w:val="0"/>
          <w:docGrid w:type="lines" w:linePitch="312" w:charSpace="0"/>
        </w:sectPr>
      </w:pPr>
    </w:p>
    <w:p w14:paraId="712AD4EC">
      <w:pPr>
        <w:pStyle w:val="347"/>
        <w:bidi w:val="0"/>
        <w:ind w:left="0" w:leftChars="0" w:firstLine="0" w:firstLineChars="0"/>
        <w:rPr>
          <w:rFonts w:hint="eastAsia"/>
          <w:color w:val="auto"/>
          <w:lang w:val="en-US" w:eastAsia="zh-CN"/>
        </w:rPr>
      </w:pPr>
    </w:p>
    <w:p w14:paraId="1060065A">
      <w:pPr>
        <w:pStyle w:val="348"/>
        <w:bidi w:val="0"/>
        <w:ind w:left="0" w:leftChars="0" w:firstLine="0" w:firstLineChars="0"/>
        <w:rPr>
          <w:rFonts w:hint="eastAsia"/>
          <w:color w:val="auto"/>
          <w:lang w:val="en-US" w:eastAsia="zh-CN"/>
        </w:rPr>
      </w:pPr>
    </w:p>
    <w:p w14:paraId="3FB42655">
      <w:pPr>
        <w:pStyle w:val="274"/>
        <w:bidi w:val="0"/>
        <w:jc w:val="center"/>
        <w:rPr>
          <w:rFonts w:hint="eastAsia"/>
          <w:color w:val="auto"/>
          <w:lang w:val="en-US" w:eastAsia="zh-CN"/>
        </w:rPr>
      </w:pPr>
      <w:bookmarkStart w:id="601" w:name="_Toc23242"/>
      <w:r>
        <w:rPr>
          <w:rFonts w:hint="eastAsia"/>
          <w:color w:val="auto"/>
          <w:lang w:val="en-US" w:eastAsia="zh-CN"/>
        </w:rPr>
        <w:br w:type="textWrapping"/>
      </w:r>
      <w:r>
        <w:rPr>
          <w:rFonts w:hint="eastAsia"/>
          <w:color w:val="auto"/>
          <w:lang w:val="en-US" w:eastAsia="zh-CN"/>
        </w:rPr>
        <w:t>（规范性）</w:t>
      </w:r>
      <w:r>
        <w:rPr>
          <w:rFonts w:hint="eastAsia"/>
          <w:color w:val="auto"/>
          <w:lang w:val="en-US" w:eastAsia="zh-CN"/>
        </w:rPr>
        <w:br w:type="textWrapping"/>
      </w:r>
      <w:r>
        <w:rPr>
          <w:rFonts w:hint="eastAsia"/>
          <w:color w:val="auto"/>
          <w:lang w:val="en-US" w:eastAsia="zh-CN"/>
        </w:rPr>
        <w:t>IP防护等级划分</w:t>
      </w:r>
      <w:bookmarkEnd w:id="579"/>
      <w:bookmarkEnd w:id="580"/>
      <w:bookmarkEnd w:id="581"/>
      <w:bookmarkEnd w:id="601"/>
    </w:p>
    <w:p w14:paraId="13E80EB9">
      <w:pPr>
        <w:spacing w:before="69" w:line="257" w:lineRule="auto"/>
        <w:ind w:left="125" w:right="40" w:firstLine="432"/>
        <w:jc w:val="both"/>
        <w:rPr>
          <w:rFonts w:hint="eastAsia" w:ascii="宋体" w:hAnsi="宋体" w:eastAsia="宋体" w:cs="宋体"/>
          <w:color w:val="auto"/>
          <w:sz w:val="21"/>
          <w:szCs w:val="21"/>
        </w:rPr>
      </w:pPr>
      <w:r>
        <w:rPr>
          <w:rFonts w:hint="eastAsia" w:ascii="宋体" w:hAnsi="宋体" w:eastAsia="宋体" w:cs="宋体"/>
          <w:color w:val="auto"/>
          <w:spacing w:val="-3"/>
          <w:sz w:val="21"/>
          <w:szCs w:val="21"/>
        </w:rPr>
        <w:t>IP防护等级系统将</w:t>
      </w:r>
      <w:r>
        <w:rPr>
          <w:rFonts w:hint="eastAsia" w:ascii="宋体" w:hAnsi="宋体" w:cs="宋体"/>
          <w:color w:val="auto"/>
          <w:spacing w:val="-3"/>
          <w:sz w:val="21"/>
          <w:szCs w:val="21"/>
          <w:lang w:val="en-US" w:eastAsia="zh-CN"/>
        </w:rPr>
        <w:t>外壳</w:t>
      </w:r>
      <w:r>
        <w:rPr>
          <w:rFonts w:hint="eastAsia" w:ascii="宋体" w:hAnsi="宋体" w:eastAsia="宋体" w:cs="宋体"/>
          <w:color w:val="auto"/>
          <w:spacing w:val="-3"/>
          <w:sz w:val="21"/>
          <w:szCs w:val="21"/>
        </w:rPr>
        <w:t xml:space="preserve">依其防尘防湿特性分级，由字母IP及二位标示数字组成，第一位数字表示防 </w:t>
      </w:r>
      <w:r>
        <w:rPr>
          <w:rFonts w:hint="eastAsia" w:ascii="宋体" w:hAnsi="宋体" w:eastAsia="宋体" w:cs="宋体"/>
          <w:color w:val="auto"/>
          <w:spacing w:val="-5"/>
          <w:sz w:val="21"/>
          <w:szCs w:val="21"/>
        </w:rPr>
        <w:t>固体异物进入的等级，第二位数字表示防水进入的密闭程度。二位标示数字表示的防护等级分别如表</w:t>
      </w:r>
      <w:r>
        <w:rPr>
          <w:rFonts w:hint="eastAsia" w:ascii="宋体" w:hAnsi="宋体" w:cs="宋体"/>
          <w:color w:val="auto"/>
          <w:spacing w:val="-5"/>
          <w:sz w:val="21"/>
          <w:szCs w:val="21"/>
          <w:lang w:val="en-US" w:eastAsia="zh-CN"/>
        </w:rPr>
        <w:t>B</w:t>
      </w:r>
      <w:r>
        <w:rPr>
          <w:rFonts w:hint="eastAsia" w:ascii="宋体" w:hAnsi="宋体" w:eastAsia="宋体" w:cs="宋体"/>
          <w:color w:val="auto"/>
          <w:spacing w:val="-5"/>
          <w:sz w:val="21"/>
          <w:szCs w:val="21"/>
          <w:lang w:val="en-US" w:eastAsia="zh-CN"/>
        </w:rPr>
        <w:t>.</w:t>
      </w:r>
      <w:r>
        <w:rPr>
          <w:rFonts w:hint="eastAsia" w:ascii="宋体" w:hAnsi="宋体" w:eastAsia="宋体" w:cs="宋体"/>
          <w:color w:val="auto"/>
          <w:spacing w:val="-5"/>
          <w:sz w:val="21"/>
          <w:szCs w:val="21"/>
        </w:rPr>
        <w:t>1、</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表</w:t>
      </w:r>
      <w:r>
        <w:rPr>
          <w:rFonts w:hint="eastAsia" w:ascii="宋体" w:hAnsi="宋体" w:cs="宋体"/>
          <w:color w:val="auto"/>
          <w:spacing w:val="-4"/>
          <w:sz w:val="21"/>
          <w:szCs w:val="21"/>
          <w:lang w:val="en-US" w:eastAsia="zh-CN"/>
        </w:rPr>
        <w:t>B</w:t>
      </w:r>
      <w:r>
        <w:rPr>
          <w:rFonts w:hint="eastAsia" w:ascii="宋体" w:hAnsi="宋体" w:eastAsia="宋体" w:cs="宋体"/>
          <w:color w:val="auto"/>
          <w:spacing w:val="-4"/>
          <w:sz w:val="21"/>
          <w:szCs w:val="21"/>
          <w:lang w:val="en-US" w:eastAsia="zh-CN"/>
        </w:rPr>
        <w:t>.</w:t>
      </w:r>
      <w:r>
        <w:rPr>
          <w:rFonts w:hint="eastAsia" w:ascii="宋体" w:hAnsi="宋体" w:eastAsia="宋体" w:cs="宋体"/>
          <w:color w:val="auto"/>
          <w:spacing w:val="-4"/>
          <w:sz w:val="21"/>
          <w:szCs w:val="21"/>
        </w:rPr>
        <w:t>2所示。</w:t>
      </w:r>
    </w:p>
    <w:p w14:paraId="3194DD3F">
      <w:pPr>
        <w:pStyle w:val="275"/>
        <w:bidi w:val="0"/>
        <w:ind w:left="0" w:leftChars="0" w:firstLine="0" w:firstLineChars="0"/>
        <w:rPr>
          <w:color w:val="auto"/>
        </w:rPr>
      </w:pPr>
      <w:bookmarkStart w:id="602" w:name="_Toc21102"/>
      <w:bookmarkStart w:id="603" w:name="_Toc1332"/>
      <w:bookmarkStart w:id="604" w:name="_Toc870"/>
      <w:r>
        <w:rPr>
          <w:rFonts w:hint="eastAsia"/>
          <w:color w:val="auto"/>
        </w:rPr>
        <w:t>防固体异物进入（第一位数字）</w:t>
      </w:r>
      <w:bookmarkEnd w:id="602"/>
      <w:bookmarkEnd w:id="603"/>
      <w:bookmarkEnd w:id="604"/>
    </w:p>
    <w:tbl>
      <w:tblPr>
        <w:tblStyle w:val="531"/>
        <w:tblW w:w="9577"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1783"/>
        <w:gridCol w:w="6524"/>
      </w:tblGrid>
      <w:tr w14:paraId="48F81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70" w:type="dxa"/>
            <w:tcBorders>
              <w:top w:val="single" w:color="000000" w:sz="6" w:space="0"/>
              <w:left w:val="single" w:color="000000" w:sz="6" w:space="0"/>
              <w:bottom w:val="single" w:color="000000" w:sz="6" w:space="0"/>
            </w:tcBorders>
            <w:vAlign w:val="center"/>
          </w:tcPr>
          <w:p w14:paraId="37BFB258">
            <w:pPr>
              <w:pStyle w:val="530"/>
              <w:keepNext w:val="0"/>
              <w:keepLines w:val="0"/>
              <w:pageBreakBefore w:val="0"/>
              <w:widowControl w:val="0"/>
              <w:kinsoku/>
              <w:wordWrap/>
              <w:overflowPunct/>
              <w:topLinePunct w:val="0"/>
              <w:autoSpaceDE/>
              <w:autoSpaceDN/>
              <w:bidi w:val="0"/>
              <w:adjustRightInd/>
              <w:snapToGrid/>
              <w:spacing w:line="240" w:lineRule="auto"/>
              <w:ind w:left="284"/>
              <w:jc w:val="both"/>
              <w:textAlignment w:val="auto"/>
              <w:rPr>
                <w:color w:val="auto"/>
                <w:sz w:val="18"/>
                <w:szCs w:val="18"/>
              </w:rPr>
            </w:pPr>
            <w:r>
              <w:rPr>
                <w:color w:val="auto"/>
                <w:spacing w:val="-5"/>
                <w:sz w:val="18"/>
                <w:szCs w:val="18"/>
              </w:rPr>
              <w:t>防护等级</w:t>
            </w:r>
          </w:p>
        </w:tc>
        <w:tc>
          <w:tcPr>
            <w:tcW w:w="1783" w:type="dxa"/>
            <w:tcBorders>
              <w:top w:val="single" w:color="000000" w:sz="6" w:space="0"/>
              <w:bottom w:val="single" w:color="000000" w:sz="6" w:space="0"/>
            </w:tcBorders>
            <w:vAlign w:val="center"/>
          </w:tcPr>
          <w:p w14:paraId="7C5CB6FE">
            <w:pPr>
              <w:pStyle w:val="530"/>
              <w:keepNext w:val="0"/>
              <w:keepLines w:val="0"/>
              <w:pageBreakBefore w:val="0"/>
              <w:widowControl w:val="0"/>
              <w:kinsoku/>
              <w:wordWrap/>
              <w:overflowPunct/>
              <w:topLinePunct w:val="0"/>
              <w:autoSpaceDE/>
              <w:autoSpaceDN/>
              <w:bidi w:val="0"/>
              <w:adjustRightInd/>
              <w:snapToGrid/>
              <w:spacing w:line="240" w:lineRule="auto"/>
              <w:ind w:left="108"/>
              <w:jc w:val="center"/>
              <w:textAlignment w:val="auto"/>
              <w:rPr>
                <w:color w:val="auto"/>
                <w:sz w:val="18"/>
                <w:szCs w:val="18"/>
              </w:rPr>
            </w:pPr>
            <w:r>
              <w:rPr>
                <w:color w:val="auto"/>
                <w:spacing w:val="-2"/>
                <w:sz w:val="18"/>
                <w:szCs w:val="18"/>
              </w:rPr>
              <w:t>技术要求</w:t>
            </w:r>
          </w:p>
        </w:tc>
        <w:tc>
          <w:tcPr>
            <w:tcW w:w="6524" w:type="dxa"/>
            <w:tcBorders>
              <w:top w:val="single" w:color="000000" w:sz="6" w:space="0"/>
              <w:bottom w:val="single" w:color="000000" w:sz="6" w:space="0"/>
              <w:right w:val="single" w:color="000000" w:sz="6" w:space="0"/>
            </w:tcBorders>
            <w:vAlign w:val="center"/>
          </w:tcPr>
          <w:p w14:paraId="051E2DD8">
            <w:pPr>
              <w:pStyle w:val="530"/>
              <w:keepNext w:val="0"/>
              <w:keepLines w:val="0"/>
              <w:pageBreakBefore w:val="0"/>
              <w:widowControl w:val="0"/>
              <w:kinsoku/>
              <w:wordWrap/>
              <w:overflowPunct/>
              <w:topLinePunct w:val="0"/>
              <w:autoSpaceDE/>
              <w:autoSpaceDN/>
              <w:bidi w:val="0"/>
              <w:adjustRightInd/>
              <w:snapToGrid/>
              <w:spacing w:line="240" w:lineRule="auto"/>
              <w:ind w:left="3084"/>
              <w:jc w:val="both"/>
              <w:textAlignment w:val="auto"/>
              <w:rPr>
                <w:color w:val="auto"/>
                <w:sz w:val="18"/>
                <w:szCs w:val="18"/>
              </w:rPr>
            </w:pPr>
            <w:r>
              <w:rPr>
                <w:color w:val="auto"/>
                <w:spacing w:val="-2"/>
                <w:sz w:val="18"/>
                <w:szCs w:val="18"/>
              </w:rPr>
              <w:t>概述</w:t>
            </w:r>
          </w:p>
        </w:tc>
      </w:tr>
      <w:tr w14:paraId="6BE9E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70" w:type="dxa"/>
            <w:tcBorders>
              <w:top w:val="single" w:color="000000" w:sz="6" w:space="0"/>
              <w:left w:val="single" w:color="000000" w:sz="6" w:space="0"/>
            </w:tcBorders>
            <w:vAlign w:val="center"/>
          </w:tcPr>
          <w:p w14:paraId="4EB29C29">
            <w:pPr>
              <w:pStyle w:val="530"/>
              <w:keepNext w:val="0"/>
              <w:keepLines w:val="0"/>
              <w:pageBreakBefore w:val="0"/>
              <w:widowControl w:val="0"/>
              <w:kinsoku/>
              <w:wordWrap/>
              <w:overflowPunct/>
              <w:topLinePunct w:val="0"/>
              <w:autoSpaceDE/>
              <w:autoSpaceDN/>
              <w:bidi w:val="0"/>
              <w:adjustRightInd/>
              <w:snapToGrid/>
              <w:spacing w:before="89" w:line="240" w:lineRule="auto"/>
              <w:ind w:left="0"/>
              <w:jc w:val="center"/>
              <w:textAlignment w:val="auto"/>
              <w:rPr>
                <w:color w:val="auto"/>
                <w:sz w:val="18"/>
                <w:szCs w:val="18"/>
              </w:rPr>
            </w:pPr>
            <w:r>
              <w:rPr>
                <w:color w:val="auto"/>
                <w:sz w:val="18"/>
                <w:szCs w:val="18"/>
              </w:rPr>
              <w:t>0</w:t>
            </w:r>
          </w:p>
        </w:tc>
        <w:tc>
          <w:tcPr>
            <w:tcW w:w="1783" w:type="dxa"/>
            <w:tcBorders>
              <w:top w:val="single" w:color="000000" w:sz="6" w:space="0"/>
            </w:tcBorders>
            <w:vAlign w:val="top"/>
          </w:tcPr>
          <w:p w14:paraId="07B6356E">
            <w:pPr>
              <w:pStyle w:val="530"/>
              <w:keepNext w:val="0"/>
              <w:keepLines w:val="0"/>
              <w:pageBreakBefore w:val="0"/>
              <w:widowControl w:val="0"/>
              <w:kinsoku/>
              <w:wordWrap/>
              <w:overflowPunct/>
              <w:topLinePunct w:val="0"/>
              <w:autoSpaceDE/>
              <w:autoSpaceDN/>
              <w:bidi w:val="0"/>
              <w:adjustRightInd/>
              <w:snapToGrid/>
              <w:spacing w:before="59" w:line="240" w:lineRule="auto"/>
              <w:ind w:left="0" w:right="0"/>
              <w:textAlignment w:val="auto"/>
              <w:rPr>
                <w:color w:val="auto"/>
                <w:sz w:val="18"/>
                <w:szCs w:val="18"/>
              </w:rPr>
            </w:pPr>
            <w:r>
              <w:rPr>
                <w:color w:val="auto"/>
                <w:spacing w:val="-2"/>
                <w:sz w:val="18"/>
                <w:szCs w:val="18"/>
              </w:rPr>
              <w:t>无防护</w:t>
            </w:r>
          </w:p>
        </w:tc>
        <w:tc>
          <w:tcPr>
            <w:tcW w:w="6524" w:type="dxa"/>
            <w:tcBorders>
              <w:top w:val="single" w:color="000000" w:sz="6" w:space="0"/>
              <w:right w:val="single" w:color="000000" w:sz="6" w:space="0"/>
            </w:tcBorders>
            <w:vAlign w:val="top"/>
          </w:tcPr>
          <w:p w14:paraId="295FCD44">
            <w:pPr>
              <w:pStyle w:val="530"/>
              <w:keepNext w:val="0"/>
              <w:keepLines w:val="0"/>
              <w:pageBreakBefore w:val="0"/>
              <w:widowControl w:val="0"/>
              <w:kinsoku/>
              <w:wordWrap/>
              <w:overflowPunct/>
              <w:topLinePunct w:val="0"/>
              <w:autoSpaceDE/>
              <w:autoSpaceDN/>
              <w:bidi w:val="0"/>
              <w:adjustRightInd/>
              <w:snapToGrid/>
              <w:spacing w:before="59" w:line="240" w:lineRule="auto"/>
              <w:ind w:left="0"/>
              <w:textAlignment w:val="auto"/>
              <w:rPr>
                <w:color w:val="auto"/>
                <w:sz w:val="18"/>
                <w:szCs w:val="18"/>
              </w:rPr>
            </w:pPr>
            <w:r>
              <w:rPr>
                <w:color w:val="auto"/>
                <w:spacing w:val="-4"/>
                <w:sz w:val="18"/>
                <w:szCs w:val="18"/>
              </w:rPr>
              <w:t>不要求专用的防护。</w:t>
            </w:r>
          </w:p>
        </w:tc>
      </w:tr>
      <w:tr w14:paraId="11A03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70" w:type="dxa"/>
            <w:tcBorders>
              <w:left w:val="single" w:color="000000" w:sz="6" w:space="0"/>
            </w:tcBorders>
            <w:vAlign w:val="center"/>
          </w:tcPr>
          <w:p w14:paraId="7B4EF8FA">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sz w:val="18"/>
                <w:szCs w:val="18"/>
              </w:rPr>
            </w:pPr>
            <w:r>
              <w:rPr>
                <w:color w:val="auto"/>
                <w:sz w:val="18"/>
                <w:szCs w:val="18"/>
              </w:rPr>
              <w:t>1</w:t>
            </w:r>
          </w:p>
        </w:tc>
        <w:tc>
          <w:tcPr>
            <w:tcW w:w="1783" w:type="dxa"/>
            <w:vAlign w:val="top"/>
          </w:tcPr>
          <w:p w14:paraId="6857A9D4">
            <w:pPr>
              <w:pStyle w:val="530"/>
              <w:keepNext w:val="0"/>
              <w:keepLines w:val="0"/>
              <w:pageBreakBefore w:val="0"/>
              <w:widowControl w:val="0"/>
              <w:kinsoku/>
              <w:wordWrap/>
              <w:overflowPunct/>
              <w:topLinePunct w:val="0"/>
              <w:autoSpaceDE/>
              <w:autoSpaceDN/>
              <w:bidi w:val="0"/>
              <w:adjustRightInd/>
              <w:snapToGrid/>
              <w:spacing w:line="240" w:lineRule="auto"/>
              <w:ind w:left="0" w:right="0" w:firstLine="11"/>
              <w:textAlignment w:val="auto"/>
              <w:rPr>
                <w:color w:val="auto"/>
                <w:sz w:val="18"/>
                <w:szCs w:val="18"/>
              </w:rPr>
            </w:pPr>
            <w:r>
              <w:rPr>
                <w:rFonts w:hint="eastAsia"/>
                <w:color w:val="auto"/>
                <w:spacing w:val="-5"/>
                <w:sz w:val="18"/>
                <w:szCs w:val="18"/>
              </w:rPr>
              <w:t>防止直径不小于50mm的固体异物</w:t>
            </w:r>
          </w:p>
        </w:tc>
        <w:tc>
          <w:tcPr>
            <w:tcW w:w="6524" w:type="dxa"/>
            <w:tcBorders>
              <w:right w:val="single" w:color="000000" w:sz="6" w:space="0"/>
            </w:tcBorders>
            <w:vAlign w:val="top"/>
          </w:tcPr>
          <w:p w14:paraId="491AC88F">
            <w:pPr>
              <w:pStyle w:val="530"/>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eastAsia="宋体"/>
                <w:color w:val="auto"/>
                <w:sz w:val="18"/>
                <w:szCs w:val="18"/>
                <w:lang w:val="en-US" w:eastAsia="zh-CN"/>
              </w:rPr>
            </w:pPr>
            <w:r>
              <w:rPr>
                <w:rFonts w:hint="eastAsia"/>
                <w:color w:val="auto"/>
                <w:sz w:val="18"/>
                <w:szCs w:val="18"/>
              </w:rPr>
              <w:t>直径50mm球形物体试具不得完全进入壳内</w:t>
            </w:r>
            <w:r>
              <w:rPr>
                <w:rFonts w:hint="eastAsia"/>
                <w:color w:val="auto"/>
                <w:sz w:val="18"/>
                <w:szCs w:val="18"/>
                <w:lang w:eastAsia="zh-CN"/>
              </w:rPr>
              <w:t>。</w:t>
            </w:r>
          </w:p>
        </w:tc>
      </w:tr>
      <w:tr w14:paraId="078ED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70" w:type="dxa"/>
            <w:tcBorders>
              <w:left w:val="single" w:color="000000" w:sz="6" w:space="0"/>
            </w:tcBorders>
            <w:vAlign w:val="center"/>
          </w:tcPr>
          <w:p w14:paraId="443C3299">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sz w:val="18"/>
                <w:szCs w:val="18"/>
              </w:rPr>
            </w:pPr>
            <w:r>
              <w:rPr>
                <w:color w:val="auto"/>
                <w:sz w:val="18"/>
                <w:szCs w:val="18"/>
              </w:rPr>
              <w:t>2</w:t>
            </w:r>
          </w:p>
        </w:tc>
        <w:tc>
          <w:tcPr>
            <w:tcW w:w="1783" w:type="dxa"/>
            <w:vAlign w:val="top"/>
          </w:tcPr>
          <w:p w14:paraId="3F552C0C">
            <w:pPr>
              <w:pStyle w:val="530"/>
              <w:keepNext w:val="0"/>
              <w:keepLines w:val="0"/>
              <w:pageBreakBefore w:val="0"/>
              <w:widowControl w:val="0"/>
              <w:kinsoku/>
              <w:wordWrap/>
              <w:overflowPunct/>
              <w:topLinePunct w:val="0"/>
              <w:autoSpaceDE/>
              <w:autoSpaceDN/>
              <w:bidi w:val="0"/>
              <w:adjustRightInd/>
              <w:snapToGrid/>
              <w:spacing w:line="240" w:lineRule="auto"/>
              <w:ind w:left="0" w:right="0" w:firstLine="11"/>
              <w:textAlignment w:val="auto"/>
              <w:rPr>
                <w:color w:val="auto"/>
                <w:sz w:val="18"/>
                <w:szCs w:val="18"/>
              </w:rPr>
            </w:pPr>
            <w:r>
              <w:rPr>
                <w:rFonts w:hint="eastAsia"/>
                <w:color w:val="auto"/>
                <w:spacing w:val="-6"/>
                <w:sz w:val="18"/>
                <w:szCs w:val="18"/>
              </w:rPr>
              <w:t>防止直径不小于12.5 mm的固体异物</w:t>
            </w:r>
          </w:p>
        </w:tc>
        <w:tc>
          <w:tcPr>
            <w:tcW w:w="6524" w:type="dxa"/>
            <w:tcBorders>
              <w:right w:val="single" w:color="000000" w:sz="6" w:space="0"/>
            </w:tcBorders>
            <w:vAlign w:val="top"/>
          </w:tcPr>
          <w:p w14:paraId="1A39F81F">
            <w:pPr>
              <w:pStyle w:val="530"/>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eastAsia="宋体"/>
                <w:color w:val="auto"/>
                <w:sz w:val="18"/>
                <w:szCs w:val="18"/>
                <w:lang w:eastAsia="zh-CN"/>
              </w:rPr>
            </w:pPr>
            <w:r>
              <w:rPr>
                <w:rFonts w:hint="eastAsia"/>
                <w:color w:val="auto"/>
                <w:spacing w:val="-5"/>
                <w:sz w:val="18"/>
                <w:szCs w:val="18"/>
              </w:rPr>
              <w:t>直径12.5 mm的球形物体试具不得完全进入壳内</w:t>
            </w:r>
            <w:r>
              <w:rPr>
                <w:rFonts w:hint="eastAsia"/>
                <w:color w:val="auto"/>
                <w:spacing w:val="-5"/>
                <w:sz w:val="18"/>
                <w:szCs w:val="18"/>
                <w:lang w:eastAsia="zh-CN"/>
              </w:rPr>
              <w:t>。</w:t>
            </w:r>
          </w:p>
        </w:tc>
      </w:tr>
      <w:tr w14:paraId="45361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70" w:type="dxa"/>
            <w:tcBorders>
              <w:left w:val="single" w:color="000000" w:sz="6" w:space="0"/>
            </w:tcBorders>
            <w:vAlign w:val="center"/>
          </w:tcPr>
          <w:p w14:paraId="44333BAE">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sz w:val="18"/>
                <w:szCs w:val="18"/>
              </w:rPr>
            </w:pPr>
            <w:r>
              <w:rPr>
                <w:color w:val="auto"/>
                <w:sz w:val="18"/>
                <w:szCs w:val="18"/>
              </w:rPr>
              <w:t>3</w:t>
            </w:r>
          </w:p>
        </w:tc>
        <w:tc>
          <w:tcPr>
            <w:tcW w:w="1783" w:type="dxa"/>
            <w:vAlign w:val="top"/>
          </w:tcPr>
          <w:p w14:paraId="56C285FC">
            <w:pPr>
              <w:pStyle w:val="530"/>
              <w:keepNext w:val="0"/>
              <w:keepLines w:val="0"/>
              <w:pageBreakBefore w:val="0"/>
              <w:widowControl w:val="0"/>
              <w:kinsoku/>
              <w:wordWrap/>
              <w:overflowPunct/>
              <w:topLinePunct w:val="0"/>
              <w:autoSpaceDE/>
              <w:autoSpaceDN/>
              <w:bidi w:val="0"/>
              <w:adjustRightInd/>
              <w:snapToGrid/>
              <w:spacing w:line="240" w:lineRule="auto"/>
              <w:ind w:left="0" w:right="0" w:hanging="4"/>
              <w:textAlignment w:val="auto"/>
              <w:rPr>
                <w:color w:val="auto"/>
                <w:sz w:val="18"/>
                <w:szCs w:val="18"/>
              </w:rPr>
            </w:pPr>
            <w:r>
              <w:rPr>
                <w:rFonts w:hint="eastAsia"/>
                <w:color w:val="auto"/>
                <w:spacing w:val="-3"/>
                <w:sz w:val="18"/>
                <w:szCs w:val="18"/>
              </w:rPr>
              <w:t>防止直径不小于2.5 mm的固体异物</w:t>
            </w:r>
          </w:p>
        </w:tc>
        <w:tc>
          <w:tcPr>
            <w:tcW w:w="6524" w:type="dxa"/>
            <w:tcBorders>
              <w:right w:val="single" w:color="000000" w:sz="6" w:space="0"/>
            </w:tcBorders>
            <w:vAlign w:val="top"/>
          </w:tcPr>
          <w:p w14:paraId="6BA090DF">
            <w:pPr>
              <w:pStyle w:val="530"/>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eastAsia="宋体"/>
                <w:color w:val="auto"/>
                <w:sz w:val="18"/>
                <w:szCs w:val="18"/>
                <w:lang w:eastAsia="zh-CN"/>
              </w:rPr>
            </w:pPr>
            <w:r>
              <w:rPr>
                <w:rFonts w:hint="eastAsia"/>
                <w:color w:val="auto"/>
                <w:spacing w:val="-4"/>
                <w:sz w:val="18"/>
                <w:szCs w:val="18"/>
              </w:rPr>
              <w:t>直径2.5 mm的物体试具完全不得进入壳内</w:t>
            </w:r>
            <w:r>
              <w:rPr>
                <w:rFonts w:hint="eastAsia"/>
                <w:color w:val="auto"/>
                <w:spacing w:val="-4"/>
                <w:sz w:val="18"/>
                <w:szCs w:val="18"/>
                <w:lang w:eastAsia="zh-CN"/>
              </w:rPr>
              <w:t>。</w:t>
            </w:r>
          </w:p>
        </w:tc>
      </w:tr>
      <w:tr w14:paraId="4EA66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70" w:type="dxa"/>
            <w:tcBorders>
              <w:left w:val="single" w:color="000000" w:sz="6" w:space="0"/>
            </w:tcBorders>
            <w:vAlign w:val="center"/>
          </w:tcPr>
          <w:p w14:paraId="62390040">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sz w:val="18"/>
                <w:szCs w:val="18"/>
              </w:rPr>
            </w:pPr>
            <w:r>
              <w:rPr>
                <w:color w:val="auto"/>
                <w:sz w:val="18"/>
                <w:szCs w:val="18"/>
              </w:rPr>
              <w:t>4</w:t>
            </w:r>
          </w:p>
        </w:tc>
        <w:tc>
          <w:tcPr>
            <w:tcW w:w="1783" w:type="dxa"/>
            <w:vAlign w:val="top"/>
          </w:tcPr>
          <w:p w14:paraId="1FEC09EE">
            <w:pPr>
              <w:pStyle w:val="530"/>
              <w:keepNext w:val="0"/>
              <w:keepLines w:val="0"/>
              <w:pageBreakBefore w:val="0"/>
              <w:widowControl w:val="0"/>
              <w:kinsoku/>
              <w:wordWrap/>
              <w:overflowPunct/>
              <w:topLinePunct w:val="0"/>
              <w:autoSpaceDE/>
              <w:autoSpaceDN/>
              <w:bidi w:val="0"/>
              <w:adjustRightInd/>
              <w:snapToGrid/>
              <w:spacing w:line="240" w:lineRule="auto"/>
              <w:ind w:left="0" w:right="0" w:firstLine="11"/>
              <w:textAlignment w:val="auto"/>
              <w:rPr>
                <w:color w:val="auto"/>
                <w:sz w:val="18"/>
                <w:szCs w:val="18"/>
              </w:rPr>
            </w:pPr>
            <w:r>
              <w:rPr>
                <w:rFonts w:hint="eastAsia"/>
                <w:color w:val="auto"/>
                <w:spacing w:val="-4"/>
                <w:sz w:val="18"/>
                <w:szCs w:val="18"/>
              </w:rPr>
              <w:t>防止直径不小于1.0mm的体异物</w:t>
            </w:r>
          </w:p>
        </w:tc>
        <w:tc>
          <w:tcPr>
            <w:tcW w:w="6524" w:type="dxa"/>
            <w:tcBorders>
              <w:right w:val="single" w:color="000000" w:sz="6" w:space="0"/>
            </w:tcBorders>
            <w:vAlign w:val="top"/>
          </w:tcPr>
          <w:p w14:paraId="11A014F9">
            <w:pPr>
              <w:pStyle w:val="530"/>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eastAsia="宋体"/>
                <w:color w:val="auto"/>
                <w:sz w:val="18"/>
                <w:szCs w:val="18"/>
                <w:lang w:eastAsia="zh-CN"/>
              </w:rPr>
            </w:pPr>
            <w:r>
              <w:rPr>
                <w:rFonts w:hint="eastAsia"/>
                <w:color w:val="auto"/>
                <w:spacing w:val="-5"/>
                <w:sz w:val="18"/>
                <w:szCs w:val="18"/>
              </w:rPr>
              <w:t>直径1.0 mm的物体试具完全不得进人壳内</w:t>
            </w:r>
            <w:r>
              <w:rPr>
                <w:rFonts w:hint="eastAsia"/>
                <w:color w:val="auto"/>
                <w:spacing w:val="-5"/>
                <w:sz w:val="18"/>
                <w:szCs w:val="18"/>
                <w:lang w:eastAsia="zh-CN"/>
              </w:rPr>
              <w:t>。</w:t>
            </w:r>
          </w:p>
        </w:tc>
      </w:tr>
      <w:tr w14:paraId="5958A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70" w:type="dxa"/>
            <w:tcBorders>
              <w:left w:val="single" w:color="000000" w:sz="6" w:space="0"/>
              <w:bottom w:val="single" w:color="000000" w:sz="6" w:space="0"/>
            </w:tcBorders>
            <w:vAlign w:val="center"/>
          </w:tcPr>
          <w:p w14:paraId="047D1316">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sz w:val="18"/>
                <w:szCs w:val="18"/>
              </w:rPr>
            </w:pPr>
            <w:r>
              <w:rPr>
                <w:color w:val="auto"/>
                <w:sz w:val="18"/>
                <w:szCs w:val="18"/>
              </w:rPr>
              <w:t>5</w:t>
            </w:r>
          </w:p>
        </w:tc>
        <w:tc>
          <w:tcPr>
            <w:tcW w:w="1783" w:type="dxa"/>
            <w:tcBorders>
              <w:bottom w:val="single" w:color="000000" w:sz="6" w:space="0"/>
            </w:tcBorders>
            <w:vAlign w:val="top"/>
          </w:tcPr>
          <w:p w14:paraId="515C8F9B">
            <w:pPr>
              <w:pStyle w:val="530"/>
              <w:keepNext w:val="0"/>
              <w:keepLines w:val="0"/>
              <w:pageBreakBefore w:val="0"/>
              <w:widowControl w:val="0"/>
              <w:kinsoku/>
              <w:wordWrap/>
              <w:overflowPunct/>
              <w:topLinePunct w:val="0"/>
              <w:autoSpaceDE/>
              <w:autoSpaceDN/>
              <w:bidi w:val="0"/>
              <w:adjustRightInd/>
              <w:snapToGrid/>
              <w:spacing w:line="240" w:lineRule="auto"/>
              <w:ind w:left="0"/>
              <w:textAlignment w:val="auto"/>
              <w:rPr>
                <w:color w:val="auto"/>
                <w:sz w:val="18"/>
                <w:szCs w:val="18"/>
              </w:rPr>
            </w:pPr>
            <w:r>
              <w:rPr>
                <w:color w:val="auto"/>
                <w:spacing w:val="-5"/>
                <w:sz w:val="18"/>
                <w:szCs w:val="18"/>
              </w:rPr>
              <w:t>防尘</w:t>
            </w:r>
          </w:p>
        </w:tc>
        <w:tc>
          <w:tcPr>
            <w:tcW w:w="6524" w:type="dxa"/>
            <w:tcBorders>
              <w:bottom w:val="single" w:color="000000" w:sz="6" w:space="0"/>
              <w:right w:val="single" w:color="000000" w:sz="6" w:space="0"/>
            </w:tcBorders>
            <w:vAlign w:val="top"/>
          </w:tcPr>
          <w:p w14:paraId="24542B22">
            <w:pPr>
              <w:pStyle w:val="530"/>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eastAsia="宋体"/>
                <w:color w:val="auto"/>
                <w:sz w:val="18"/>
                <w:szCs w:val="18"/>
                <w:lang w:eastAsia="zh-CN"/>
              </w:rPr>
            </w:pPr>
            <w:r>
              <w:rPr>
                <w:rFonts w:hint="eastAsia"/>
                <w:color w:val="auto"/>
                <w:spacing w:val="-2"/>
                <w:sz w:val="18"/>
                <w:szCs w:val="18"/>
              </w:rPr>
              <w:t>不能完全防止尘埃进入，但进入的灰尘量不得影响设备的正常运行，不得影响安全</w:t>
            </w:r>
            <w:r>
              <w:rPr>
                <w:rFonts w:hint="eastAsia"/>
                <w:color w:val="auto"/>
                <w:spacing w:val="-2"/>
                <w:sz w:val="18"/>
                <w:szCs w:val="18"/>
                <w:lang w:eastAsia="zh-CN"/>
              </w:rPr>
              <w:t>。</w:t>
            </w:r>
          </w:p>
        </w:tc>
      </w:tr>
      <w:tr w14:paraId="70A92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70" w:type="dxa"/>
            <w:tcBorders>
              <w:top w:val="single" w:color="000000" w:sz="6" w:space="0"/>
              <w:left w:val="single" w:color="000000" w:sz="6" w:space="0"/>
              <w:bottom w:val="single" w:color="000000" w:sz="6" w:space="0"/>
            </w:tcBorders>
            <w:vAlign w:val="center"/>
          </w:tcPr>
          <w:p w14:paraId="1E9E1441">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sz w:val="18"/>
                <w:szCs w:val="18"/>
              </w:rPr>
            </w:pPr>
            <w:r>
              <w:rPr>
                <w:color w:val="auto"/>
                <w:sz w:val="18"/>
                <w:szCs w:val="18"/>
              </w:rPr>
              <w:t>6</w:t>
            </w:r>
          </w:p>
        </w:tc>
        <w:tc>
          <w:tcPr>
            <w:tcW w:w="1783" w:type="dxa"/>
            <w:tcBorders>
              <w:top w:val="single" w:color="000000" w:sz="6" w:space="0"/>
              <w:bottom w:val="single" w:color="000000" w:sz="6" w:space="0"/>
            </w:tcBorders>
            <w:vAlign w:val="top"/>
          </w:tcPr>
          <w:p w14:paraId="406FD26F">
            <w:pPr>
              <w:pStyle w:val="530"/>
              <w:keepNext w:val="0"/>
              <w:keepLines w:val="0"/>
              <w:pageBreakBefore w:val="0"/>
              <w:widowControl w:val="0"/>
              <w:kinsoku/>
              <w:wordWrap/>
              <w:overflowPunct/>
              <w:topLinePunct w:val="0"/>
              <w:autoSpaceDE/>
              <w:autoSpaceDN/>
              <w:bidi w:val="0"/>
              <w:adjustRightInd/>
              <w:snapToGrid/>
              <w:spacing w:line="240" w:lineRule="auto"/>
              <w:ind w:left="0"/>
              <w:textAlignment w:val="auto"/>
              <w:rPr>
                <w:color w:val="auto"/>
                <w:sz w:val="18"/>
                <w:szCs w:val="18"/>
              </w:rPr>
            </w:pPr>
            <w:r>
              <w:rPr>
                <w:color w:val="auto"/>
                <w:spacing w:val="-3"/>
                <w:sz w:val="18"/>
                <w:szCs w:val="18"/>
              </w:rPr>
              <w:t>尘密</w:t>
            </w:r>
          </w:p>
        </w:tc>
        <w:tc>
          <w:tcPr>
            <w:tcW w:w="6524" w:type="dxa"/>
            <w:tcBorders>
              <w:top w:val="single" w:color="000000" w:sz="6" w:space="0"/>
              <w:bottom w:val="single" w:color="000000" w:sz="6" w:space="0"/>
              <w:right w:val="single" w:color="000000" w:sz="6" w:space="0"/>
            </w:tcBorders>
            <w:vAlign w:val="top"/>
          </w:tcPr>
          <w:p w14:paraId="2F6814AD">
            <w:pPr>
              <w:pStyle w:val="530"/>
              <w:keepNext w:val="0"/>
              <w:keepLines w:val="0"/>
              <w:pageBreakBefore w:val="0"/>
              <w:widowControl w:val="0"/>
              <w:kinsoku/>
              <w:wordWrap/>
              <w:overflowPunct/>
              <w:topLinePunct w:val="0"/>
              <w:autoSpaceDE/>
              <w:autoSpaceDN/>
              <w:bidi w:val="0"/>
              <w:adjustRightInd/>
              <w:snapToGrid/>
              <w:spacing w:line="240" w:lineRule="auto"/>
              <w:ind w:left="0"/>
              <w:textAlignment w:val="auto"/>
              <w:rPr>
                <w:color w:val="auto"/>
                <w:sz w:val="18"/>
                <w:szCs w:val="18"/>
              </w:rPr>
            </w:pPr>
            <w:r>
              <w:rPr>
                <w:rFonts w:hint="eastAsia"/>
                <w:color w:val="auto"/>
                <w:spacing w:val="-4"/>
                <w:sz w:val="18"/>
                <w:szCs w:val="18"/>
              </w:rPr>
              <w:t>无灰尘进入</w:t>
            </w:r>
          </w:p>
        </w:tc>
      </w:tr>
    </w:tbl>
    <w:p w14:paraId="1F3F4CF6">
      <w:pPr>
        <w:pStyle w:val="275"/>
        <w:bidi w:val="0"/>
        <w:ind w:left="0" w:leftChars="0" w:firstLine="0" w:firstLineChars="0"/>
        <w:rPr>
          <w:color w:val="auto"/>
        </w:rPr>
      </w:pPr>
      <w:bookmarkStart w:id="605" w:name="_Toc22170"/>
      <w:bookmarkStart w:id="606" w:name="_Toc30925"/>
      <w:bookmarkStart w:id="607" w:name="_Toc30190"/>
      <w:r>
        <w:rPr>
          <w:rFonts w:hint="eastAsia"/>
          <w:color w:val="auto"/>
        </w:rPr>
        <w:t>防水进入（第二位数字）</w:t>
      </w:r>
      <w:bookmarkEnd w:id="605"/>
      <w:bookmarkEnd w:id="606"/>
      <w:bookmarkEnd w:id="607"/>
    </w:p>
    <w:tbl>
      <w:tblPr>
        <w:tblStyle w:val="531"/>
        <w:tblW w:w="9577"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0"/>
        <w:gridCol w:w="1783"/>
        <w:gridCol w:w="6524"/>
      </w:tblGrid>
      <w:tr w14:paraId="32B3D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270" w:type="dxa"/>
            <w:tcBorders>
              <w:right w:val="single" w:color="000000" w:sz="2" w:space="0"/>
            </w:tcBorders>
            <w:vAlign w:val="top"/>
          </w:tcPr>
          <w:p w14:paraId="6F0AB761">
            <w:pPr>
              <w:pStyle w:val="530"/>
              <w:keepNext w:val="0"/>
              <w:keepLines w:val="0"/>
              <w:pageBreakBefore w:val="0"/>
              <w:widowControl w:val="0"/>
              <w:kinsoku/>
              <w:wordWrap/>
              <w:overflowPunct/>
              <w:topLinePunct w:val="0"/>
              <w:autoSpaceDE/>
              <w:autoSpaceDN/>
              <w:bidi w:val="0"/>
              <w:adjustRightInd/>
              <w:snapToGrid/>
              <w:spacing w:before="69" w:line="240" w:lineRule="auto"/>
              <w:ind w:left="284"/>
              <w:textAlignment w:val="auto"/>
              <w:rPr>
                <w:color w:val="auto"/>
              </w:rPr>
            </w:pPr>
            <w:r>
              <w:rPr>
                <w:color w:val="auto"/>
                <w:spacing w:val="-4"/>
              </w:rPr>
              <w:t>防护等级</w:t>
            </w:r>
          </w:p>
        </w:tc>
        <w:tc>
          <w:tcPr>
            <w:tcW w:w="1783" w:type="dxa"/>
            <w:tcBorders>
              <w:left w:val="single" w:color="000000" w:sz="2" w:space="0"/>
              <w:right w:val="single" w:color="000000" w:sz="2" w:space="0"/>
            </w:tcBorders>
            <w:vAlign w:val="top"/>
          </w:tcPr>
          <w:p w14:paraId="41247240">
            <w:pPr>
              <w:pStyle w:val="530"/>
              <w:keepNext w:val="0"/>
              <w:keepLines w:val="0"/>
              <w:pageBreakBefore w:val="0"/>
              <w:widowControl w:val="0"/>
              <w:kinsoku/>
              <w:wordWrap/>
              <w:overflowPunct/>
              <w:topLinePunct w:val="0"/>
              <w:autoSpaceDE/>
              <w:autoSpaceDN/>
              <w:bidi w:val="0"/>
              <w:adjustRightInd/>
              <w:snapToGrid/>
              <w:spacing w:before="69" w:line="240" w:lineRule="auto"/>
              <w:ind w:left="532"/>
              <w:textAlignment w:val="auto"/>
              <w:rPr>
                <w:color w:val="auto"/>
              </w:rPr>
            </w:pPr>
            <w:r>
              <w:rPr>
                <w:color w:val="auto"/>
                <w:spacing w:val="-2"/>
              </w:rPr>
              <w:t>技术要求</w:t>
            </w:r>
          </w:p>
        </w:tc>
        <w:tc>
          <w:tcPr>
            <w:tcW w:w="6524" w:type="dxa"/>
            <w:tcBorders>
              <w:left w:val="single" w:color="000000" w:sz="2" w:space="0"/>
            </w:tcBorders>
            <w:vAlign w:val="top"/>
          </w:tcPr>
          <w:p w14:paraId="59FC9DBE">
            <w:pPr>
              <w:pStyle w:val="530"/>
              <w:keepNext w:val="0"/>
              <w:keepLines w:val="0"/>
              <w:pageBreakBefore w:val="0"/>
              <w:widowControl w:val="0"/>
              <w:kinsoku/>
              <w:wordWrap/>
              <w:overflowPunct/>
              <w:topLinePunct w:val="0"/>
              <w:autoSpaceDE/>
              <w:autoSpaceDN/>
              <w:bidi w:val="0"/>
              <w:adjustRightInd/>
              <w:snapToGrid/>
              <w:spacing w:before="69" w:line="240" w:lineRule="auto"/>
              <w:ind w:left="3084"/>
              <w:textAlignment w:val="auto"/>
              <w:rPr>
                <w:color w:val="auto"/>
              </w:rPr>
            </w:pPr>
            <w:r>
              <w:rPr>
                <w:color w:val="auto"/>
                <w:spacing w:val="-2"/>
              </w:rPr>
              <w:t>概述</w:t>
            </w:r>
          </w:p>
        </w:tc>
      </w:tr>
      <w:tr w14:paraId="6F965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270" w:type="dxa"/>
            <w:tcBorders>
              <w:bottom w:val="single" w:color="000000" w:sz="2" w:space="0"/>
              <w:right w:val="single" w:color="000000" w:sz="2" w:space="0"/>
            </w:tcBorders>
            <w:vAlign w:val="center"/>
          </w:tcPr>
          <w:p w14:paraId="7D705FE3">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rPr>
            </w:pPr>
            <w:r>
              <w:rPr>
                <w:color w:val="auto"/>
              </w:rPr>
              <w:t>0</w:t>
            </w:r>
          </w:p>
        </w:tc>
        <w:tc>
          <w:tcPr>
            <w:tcW w:w="1783" w:type="dxa"/>
            <w:tcBorders>
              <w:left w:val="single" w:color="000000" w:sz="2" w:space="0"/>
              <w:bottom w:val="single" w:color="000000" w:sz="2" w:space="0"/>
              <w:right w:val="single" w:color="000000" w:sz="2" w:space="0"/>
            </w:tcBorders>
            <w:vAlign w:val="top"/>
          </w:tcPr>
          <w:p w14:paraId="69176327">
            <w:pPr>
              <w:pStyle w:val="530"/>
              <w:keepNext w:val="0"/>
              <w:keepLines w:val="0"/>
              <w:pageBreakBefore w:val="0"/>
              <w:widowControl w:val="0"/>
              <w:kinsoku/>
              <w:wordWrap/>
              <w:overflowPunct/>
              <w:topLinePunct w:val="0"/>
              <w:autoSpaceDE/>
              <w:autoSpaceDN/>
              <w:bidi w:val="0"/>
              <w:adjustRightInd/>
              <w:snapToGrid/>
              <w:spacing w:before="60" w:line="240" w:lineRule="auto"/>
              <w:ind w:left="0"/>
              <w:textAlignment w:val="auto"/>
              <w:rPr>
                <w:color w:val="auto"/>
              </w:rPr>
            </w:pPr>
            <w:r>
              <w:rPr>
                <w:color w:val="auto"/>
                <w:spacing w:val="-2"/>
              </w:rPr>
              <w:t>无防护</w:t>
            </w:r>
          </w:p>
        </w:tc>
        <w:tc>
          <w:tcPr>
            <w:tcW w:w="6524" w:type="dxa"/>
            <w:tcBorders>
              <w:left w:val="single" w:color="000000" w:sz="2" w:space="0"/>
              <w:bottom w:val="single" w:color="000000" w:sz="2" w:space="0"/>
            </w:tcBorders>
            <w:vAlign w:val="top"/>
          </w:tcPr>
          <w:p w14:paraId="0036F90B">
            <w:pPr>
              <w:pStyle w:val="530"/>
              <w:keepNext w:val="0"/>
              <w:keepLines w:val="0"/>
              <w:pageBreakBefore w:val="0"/>
              <w:widowControl w:val="0"/>
              <w:kinsoku/>
              <w:wordWrap/>
              <w:overflowPunct/>
              <w:topLinePunct w:val="0"/>
              <w:autoSpaceDE/>
              <w:autoSpaceDN/>
              <w:bidi w:val="0"/>
              <w:adjustRightInd/>
              <w:snapToGrid/>
              <w:spacing w:before="60" w:line="240" w:lineRule="auto"/>
              <w:ind w:left="0"/>
              <w:textAlignment w:val="auto"/>
              <w:rPr>
                <w:color w:val="auto"/>
              </w:rPr>
            </w:pPr>
            <w:r>
              <w:rPr>
                <w:color w:val="auto"/>
                <w:spacing w:val="-4"/>
              </w:rPr>
              <w:t>不要求专用的防护。</w:t>
            </w:r>
          </w:p>
        </w:tc>
      </w:tr>
      <w:tr w14:paraId="445A5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270" w:type="dxa"/>
            <w:tcBorders>
              <w:top w:val="single" w:color="000000" w:sz="2" w:space="0"/>
              <w:bottom w:val="single" w:color="000000" w:sz="2" w:space="0"/>
              <w:right w:val="single" w:color="000000" w:sz="2" w:space="0"/>
            </w:tcBorders>
            <w:vAlign w:val="center"/>
          </w:tcPr>
          <w:p w14:paraId="0E26A3D1">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rPr>
            </w:pPr>
            <w:r>
              <w:rPr>
                <w:color w:val="auto"/>
              </w:rPr>
              <w:t>1</w:t>
            </w:r>
          </w:p>
        </w:tc>
        <w:tc>
          <w:tcPr>
            <w:tcW w:w="1783" w:type="dxa"/>
            <w:tcBorders>
              <w:top w:val="single" w:color="000000" w:sz="2" w:space="0"/>
              <w:left w:val="single" w:color="000000" w:sz="2" w:space="0"/>
              <w:bottom w:val="single" w:color="000000" w:sz="2" w:space="0"/>
              <w:right w:val="single" w:color="000000" w:sz="2" w:space="0"/>
            </w:tcBorders>
            <w:vAlign w:val="top"/>
          </w:tcPr>
          <w:p w14:paraId="22A04905">
            <w:pPr>
              <w:pStyle w:val="530"/>
              <w:keepNext w:val="0"/>
              <w:keepLines w:val="0"/>
              <w:pageBreakBefore w:val="0"/>
              <w:widowControl w:val="0"/>
              <w:kinsoku/>
              <w:wordWrap/>
              <w:overflowPunct/>
              <w:topLinePunct w:val="0"/>
              <w:autoSpaceDE/>
              <w:autoSpaceDN/>
              <w:bidi w:val="0"/>
              <w:adjustRightInd/>
              <w:snapToGrid/>
              <w:spacing w:before="67" w:line="240" w:lineRule="auto"/>
              <w:ind w:left="0"/>
              <w:textAlignment w:val="auto"/>
              <w:rPr>
                <w:rFonts w:hint="default" w:eastAsia="宋体"/>
                <w:color w:val="auto"/>
                <w:lang w:val="en-US" w:eastAsia="zh-CN"/>
              </w:rPr>
            </w:pPr>
            <w:r>
              <w:rPr>
                <w:rFonts w:hint="eastAsia"/>
                <w:color w:val="auto"/>
                <w:lang w:val="en-US" w:eastAsia="zh-CN"/>
              </w:rPr>
              <w:t>防止垂直方向滴水</w:t>
            </w:r>
          </w:p>
        </w:tc>
        <w:tc>
          <w:tcPr>
            <w:tcW w:w="6524" w:type="dxa"/>
            <w:tcBorders>
              <w:top w:val="single" w:color="000000" w:sz="2" w:space="0"/>
              <w:left w:val="single" w:color="000000" w:sz="2" w:space="0"/>
              <w:bottom w:val="single" w:color="000000" w:sz="2" w:space="0"/>
            </w:tcBorders>
            <w:vAlign w:val="top"/>
          </w:tcPr>
          <w:p w14:paraId="399ED1FB">
            <w:pPr>
              <w:pStyle w:val="530"/>
              <w:keepNext w:val="0"/>
              <w:keepLines w:val="0"/>
              <w:pageBreakBefore w:val="0"/>
              <w:widowControl w:val="0"/>
              <w:kinsoku/>
              <w:wordWrap/>
              <w:overflowPunct/>
              <w:topLinePunct w:val="0"/>
              <w:autoSpaceDE/>
              <w:autoSpaceDN/>
              <w:bidi w:val="0"/>
              <w:adjustRightInd/>
              <w:snapToGrid/>
              <w:spacing w:before="66" w:line="240" w:lineRule="auto"/>
              <w:ind w:left="0"/>
              <w:textAlignment w:val="auto"/>
              <w:rPr>
                <w:color w:val="auto"/>
              </w:rPr>
            </w:pPr>
            <w:r>
              <w:rPr>
                <w:color w:val="auto"/>
                <w:spacing w:val="-3"/>
              </w:rPr>
              <w:t>垂直</w:t>
            </w:r>
            <w:r>
              <w:rPr>
                <w:rFonts w:hint="eastAsia"/>
                <w:color w:val="auto"/>
                <w:spacing w:val="-3"/>
                <w:lang w:val="en-US" w:eastAsia="zh-CN"/>
              </w:rPr>
              <w:t>方向滴水应无有害影响</w:t>
            </w:r>
            <w:r>
              <w:rPr>
                <w:color w:val="auto"/>
                <w:spacing w:val="-3"/>
              </w:rPr>
              <w:t>。</w:t>
            </w:r>
          </w:p>
        </w:tc>
      </w:tr>
      <w:tr w14:paraId="7815C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270" w:type="dxa"/>
            <w:tcBorders>
              <w:top w:val="single" w:color="000000" w:sz="2" w:space="0"/>
              <w:right w:val="single" w:color="000000" w:sz="2" w:space="0"/>
            </w:tcBorders>
            <w:vAlign w:val="center"/>
          </w:tcPr>
          <w:p w14:paraId="5A3DA7DE">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rPr>
            </w:pPr>
            <w:r>
              <w:rPr>
                <w:color w:val="auto"/>
              </w:rPr>
              <w:t>2</w:t>
            </w:r>
          </w:p>
        </w:tc>
        <w:tc>
          <w:tcPr>
            <w:tcW w:w="1783" w:type="dxa"/>
            <w:tcBorders>
              <w:top w:val="single" w:color="000000" w:sz="2" w:space="0"/>
              <w:left w:val="single" w:color="000000" w:sz="2" w:space="0"/>
              <w:right w:val="single" w:color="000000" w:sz="2" w:space="0"/>
            </w:tcBorders>
            <w:vAlign w:val="top"/>
          </w:tcPr>
          <w:p w14:paraId="3F35FFA2">
            <w:pPr>
              <w:pStyle w:val="530"/>
              <w:keepNext w:val="0"/>
              <w:keepLines w:val="0"/>
              <w:pageBreakBefore w:val="0"/>
              <w:widowControl w:val="0"/>
              <w:kinsoku/>
              <w:wordWrap/>
              <w:overflowPunct/>
              <w:topLinePunct w:val="0"/>
              <w:autoSpaceDE/>
              <w:autoSpaceDN/>
              <w:bidi w:val="0"/>
              <w:adjustRightInd/>
              <w:snapToGrid/>
              <w:spacing w:before="69" w:line="240" w:lineRule="auto"/>
              <w:ind w:left="0"/>
              <w:textAlignment w:val="auto"/>
              <w:rPr>
                <w:rFonts w:hint="default"/>
                <w:color w:val="auto"/>
                <w:lang w:val="en-US"/>
              </w:rPr>
            </w:pPr>
            <w:r>
              <w:rPr>
                <w:rFonts w:hint="eastAsia"/>
                <w:color w:val="auto"/>
                <w:spacing w:val="-7"/>
                <w:lang w:val="en-US" w:eastAsia="zh-CN"/>
              </w:rPr>
              <w:t>防止当外壳在</w:t>
            </w:r>
            <w:r>
              <w:rPr>
                <w:color w:val="auto"/>
                <w:spacing w:val="-7"/>
              </w:rPr>
              <w:t>15</w:t>
            </w:r>
            <w:r>
              <w:rPr>
                <w:color w:val="auto"/>
                <w:spacing w:val="-65"/>
              </w:rPr>
              <w:t xml:space="preserve"> </w:t>
            </w:r>
            <w:r>
              <w:rPr>
                <w:color w:val="auto"/>
                <w:spacing w:val="-7"/>
              </w:rPr>
              <w:t>°</w:t>
            </w:r>
            <w:r>
              <w:rPr>
                <w:rFonts w:hint="eastAsia"/>
                <w:color w:val="auto"/>
                <w:spacing w:val="-7"/>
                <w:lang w:val="en-US" w:eastAsia="zh-CN"/>
              </w:rPr>
              <w:t>倾斜时垂直方向滴水</w:t>
            </w:r>
          </w:p>
        </w:tc>
        <w:tc>
          <w:tcPr>
            <w:tcW w:w="6524" w:type="dxa"/>
            <w:tcBorders>
              <w:top w:val="single" w:color="000000" w:sz="2" w:space="0"/>
              <w:left w:val="single" w:color="000000" w:sz="2" w:space="0"/>
            </w:tcBorders>
            <w:vAlign w:val="top"/>
          </w:tcPr>
          <w:p w14:paraId="55ACFF55">
            <w:pPr>
              <w:pStyle w:val="530"/>
              <w:keepNext w:val="0"/>
              <w:keepLines w:val="0"/>
              <w:pageBreakBefore w:val="0"/>
              <w:widowControl w:val="0"/>
              <w:kinsoku/>
              <w:wordWrap/>
              <w:overflowPunct/>
              <w:topLinePunct w:val="0"/>
              <w:autoSpaceDE/>
              <w:autoSpaceDN/>
              <w:bidi w:val="0"/>
              <w:adjustRightInd/>
              <w:snapToGrid/>
              <w:spacing w:before="68" w:line="240" w:lineRule="auto"/>
              <w:ind w:left="0"/>
              <w:textAlignment w:val="auto"/>
              <w:rPr>
                <w:color w:val="auto"/>
              </w:rPr>
            </w:pPr>
            <w:r>
              <w:rPr>
                <w:rFonts w:hint="eastAsia"/>
                <w:color w:val="auto"/>
                <w:spacing w:val="-3"/>
                <w:lang w:val="en-US" w:eastAsia="zh-CN"/>
              </w:rPr>
              <w:t>当外壳的各垂直面在</w:t>
            </w:r>
            <w:r>
              <w:rPr>
                <w:color w:val="auto"/>
                <w:spacing w:val="-7"/>
              </w:rPr>
              <w:t>15</w:t>
            </w:r>
            <w:r>
              <w:rPr>
                <w:color w:val="auto"/>
                <w:spacing w:val="-65"/>
              </w:rPr>
              <w:t xml:space="preserve"> </w:t>
            </w:r>
            <w:r>
              <w:rPr>
                <w:color w:val="auto"/>
                <w:spacing w:val="-7"/>
              </w:rPr>
              <w:t>°</w:t>
            </w:r>
            <w:r>
              <w:rPr>
                <w:rFonts w:hint="eastAsia"/>
                <w:color w:val="auto"/>
                <w:spacing w:val="-7"/>
                <w:lang w:val="en-US" w:eastAsia="zh-CN"/>
              </w:rPr>
              <w:t>倾斜时，垂直滴水应无有害影响</w:t>
            </w:r>
            <w:r>
              <w:rPr>
                <w:color w:val="auto"/>
                <w:spacing w:val="-3"/>
              </w:rPr>
              <w:t>。</w:t>
            </w:r>
          </w:p>
        </w:tc>
      </w:tr>
      <w:tr w14:paraId="56D56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270" w:type="dxa"/>
            <w:tcBorders>
              <w:right w:val="single" w:color="000000" w:sz="2" w:space="0"/>
            </w:tcBorders>
            <w:vAlign w:val="center"/>
          </w:tcPr>
          <w:p w14:paraId="01C53253">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rPr>
            </w:pPr>
            <w:r>
              <w:rPr>
                <w:color w:val="auto"/>
              </w:rPr>
              <w:t>3</w:t>
            </w:r>
          </w:p>
        </w:tc>
        <w:tc>
          <w:tcPr>
            <w:tcW w:w="1783" w:type="dxa"/>
            <w:tcBorders>
              <w:left w:val="single" w:color="000000" w:sz="2" w:space="0"/>
              <w:right w:val="single" w:color="000000" w:sz="2" w:space="0"/>
            </w:tcBorders>
            <w:vAlign w:val="top"/>
          </w:tcPr>
          <w:p w14:paraId="66416BD7">
            <w:pPr>
              <w:pStyle w:val="530"/>
              <w:keepNext w:val="0"/>
              <w:keepLines w:val="0"/>
              <w:pageBreakBefore w:val="0"/>
              <w:widowControl w:val="0"/>
              <w:kinsoku/>
              <w:wordWrap/>
              <w:overflowPunct/>
              <w:topLinePunct w:val="0"/>
              <w:autoSpaceDE/>
              <w:autoSpaceDN/>
              <w:bidi w:val="0"/>
              <w:adjustRightInd/>
              <w:snapToGrid/>
              <w:spacing w:before="67" w:line="240" w:lineRule="auto"/>
              <w:ind w:left="0"/>
              <w:textAlignment w:val="auto"/>
              <w:rPr>
                <w:color w:val="auto"/>
              </w:rPr>
            </w:pPr>
            <w:r>
              <w:rPr>
                <w:color w:val="auto"/>
                <w:spacing w:val="-5"/>
              </w:rPr>
              <w:t>防淋水</w:t>
            </w:r>
          </w:p>
        </w:tc>
        <w:tc>
          <w:tcPr>
            <w:tcW w:w="6524" w:type="dxa"/>
            <w:tcBorders>
              <w:left w:val="single" w:color="000000" w:sz="2" w:space="0"/>
            </w:tcBorders>
            <w:vAlign w:val="top"/>
          </w:tcPr>
          <w:p w14:paraId="0186FA88">
            <w:pPr>
              <w:pStyle w:val="530"/>
              <w:keepNext w:val="0"/>
              <w:keepLines w:val="0"/>
              <w:pageBreakBefore w:val="0"/>
              <w:widowControl w:val="0"/>
              <w:kinsoku/>
              <w:wordWrap/>
              <w:overflowPunct/>
              <w:topLinePunct w:val="0"/>
              <w:autoSpaceDE/>
              <w:autoSpaceDN/>
              <w:bidi w:val="0"/>
              <w:adjustRightInd/>
              <w:snapToGrid/>
              <w:spacing w:before="67" w:line="240" w:lineRule="auto"/>
              <w:ind w:left="0"/>
              <w:textAlignment w:val="auto"/>
              <w:rPr>
                <w:color w:val="auto"/>
              </w:rPr>
            </w:pPr>
            <w:r>
              <w:rPr>
                <w:rFonts w:hint="eastAsia"/>
                <w:color w:val="auto"/>
                <w:spacing w:val="-2"/>
                <w:lang w:val="en-US" w:eastAsia="zh-CN"/>
              </w:rPr>
              <w:t>当外壳的垂直面在</w:t>
            </w:r>
            <w:r>
              <w:rPr>
                <w:rFonts w:hint="eastAsia"/>
                <w:color w:val="auto"/>
                <w:spacing w:val="-7"/>
                <w:lang w:val="en-US" w:eastAsia="zh-CN"/>
              </w:rPr>
              <w:t>60</w:t>
            </w:r>
            <w:r>
              <w:rPr>
                <w:color w:val="auto"/>
                <w:spacing w:val="-65"/>
              </w:rPr>
              <w:t xml:space="preserve"> </w:t>
            </w:r>
            <w:r>
              <w:rPr>
                <w:color w:val="auto"/>
                <w:spacing w:val="-7"/>
              </w:rPr>
              <w:t>°</w:t>
            </w:r>
            <w:r>
              <w:rPr>
                <w:rFonts w:hint="eastAsia"/>
                <w:color w:val="auto"/>
                <w:spacing w:val="-7"/>
                <w:lang w:val="en-US" w:eastAsia="zh-CN"/>
              </w:rPr>
              <w:t>范围内淋水，无有害影响</w:t>
            </w:r>
            <w:r>
              <w:rPr>
                <w:color w:val="auto"/>
                <w:spacing w:val="-2"/>
              </w:rPr>
              <w:t>。</w:t>
            </w:r>
          </w:p>
        </w:tc>
      </w:tr>
      <w:tr w14:paraId="60062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270" w:type="dxa"/>
            <w:tcBorders>
              <w:right w:val="single" w:color="000000" w:sz="2" w:space="0"/>
            </w:tcBorders>
            <w:vAlign w:val="center"/>
          </w:tcPr>
          <w:p w14:paraId="096068E4">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rPr>
            </w:pPr>
            <w:r>
              <w:rPr>
                <w:color w:val="auto"/>
              </w:rPr>
              <w:t>4</w:t>
            </w:r>
          </w:p>
        </w:tc>
        <w:tc>
          <w:tcPr>
            <w:tcW w:w="1783" w:type="dxa"/>
            <w:tcBorders>
              <w:left w:val="single" w:color="000000" w:sz="2" w:space="0"/>
              <w:right w:val="single" w:color="000000" w:sz="2" w:space="0"/>
            </w:tcBorders>
            <w:vAlign w:val="top"/>
          </w:tcPr>
          <w:p w14:paraId="26812336">
            <w:pPr>
              <w:pStyle w:val="530"/>
              <w:keepNext w:val="0"/>
              <w:keepLines w:val="0"/>
              <w:pageBreakBefore w:val="0"/>
              <w:widowControl w:val="0"/>
              <w:kinsoku/>
              <w:wordWrap/>
              <w:overflowPunct/>
              <w:topLinePunct w:val="0"/>
              <w:autoSpaceDE/>
              <w:autoSpaceDN/>
              <w:bidi w:val="0"/>
              <w:adjustRightInd/>
              <w:snapToGrid/>
              <w:spacing w:before="66" w:line="240" w:lineRule="auto"/>
              <w:ind w:left="0"/>
              <w:textAlignment w:val="auto"/>
              <w:rPr>
                <w:rFonts w:hint="eastAsia" w:eastAsia="宋体"/>
                <w:color w:val="auto"/>
                <w:lang w:val="en-US" w:eastAsia="zh-CN"/>
              </w:rPr>
            </w:pPr>
            <w:r>
              <w:rPr>
                <w:color w:val="auto"/>
                <w:spacing w:val="-5"/>
              </w:rPr>
              <w:t>防溅</w:t>
            </w:r>
            <w:r>
              <w:rPr>
                <w:rFonts w:hint="eastAsia"/>
                <w:color w:val="auto"/>
                <w:spacing w:val="-5"/>
                <w:lang w:val="en-US" w:eastAsia="zh-CN"/>
              </w:rPr>
              <w:t>水</w:t>
            </w:r>
          </w:p>
        </w:tc>
        <w:tc>
          <w:tcPr>
            <w:tcW w:w="6524" w:type="dxa"/>
            <w:tcBorders>
              <w:left w:val="single" w:color="000000" w:sz="2" w:space="0"/>
            </w:tcBorders>
            <w:vAlign w:val="top"/>
          </w:tcPr>
          <w:p w14:paraId="421F269F">
            <w:pPr>
              <w:pStyle w:val="530"/>
              <w:keepNext w:val="0"/>
              <w:keepLines w:val="0"/>
              <w:pageBreakBefore w:val="0"/>
              <w:widowControl w:val="0"/>
              <w:kinsoku/>
              <w:wordWrap/>
              <w:overflowPunct/>
              <w:topLinePunct w:val="0"/>
              <w:autoSpaceDE/>
              <w:autoSpaceDN/>
              <w:bidi w:val="0"/>
              <w:adjustRightInd/>
              <w:snapToGrid/>
              <w:spacing w:before="66" w:line="240" w:lineRule="auto"/>
              <w:ind w:left="0"/>
              <w:textAlignment w:val="auto"/>
              <w:rPr>
                <w:color w:val="auto"/>
              </w:rPr>
            </w:pPr>
            <w:r>
              <w:rPr>
                <w:rFonts w:hint="eastAsia"/>
                <w:color w:val="auto"/>
                <w:spacing w:val="-3"/>
                <w:lang w:val="en-US" w:eastAsia="zh-CN"/>
              </w:rPr>
              <w:t>向外壳各方向溅水无有害影响</w:t>
            </w:r>
            <w:r>
              <w:rPr>
                <w:color w:val="auto"/>
                <w:spacing w:val="-3"/>
              </w:rPr>
              <w:t>。</w:t>
            </w:r>
          </w:p>
        </w:tc>
      </w:tr>
      <w:tr w14:paraId="05307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270" w:type="dxa"/>
            <w:tcBorders>
              <w:right w:val="single" w:color="000000" w:sz="2" w:space="0"/>
            </w:tcBorders>
            <w:vAlign w:val="center"/>
          </w:tcPr>
          <w:p w14:paraId="5F98339C">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rPr>
            </w:pPr>
            <w:r>
              <w:rPr>
                <w:color w:val="auto"/>
              </w:rPr>
              <w:t>5</w:t>
            </w:r>
          </w:p>
        </w:tc>
        <w:tc>
          <w:tcPr>
            <w:tcW w:w="1783" w:type="dxa"/>
            <w:tcBorders>
              <w:left w:val="single" w:color="000000" w:sz="2" w:space="0"/>
              <w:right w:val="single" w:color="000000" w:sz="2" w:space="0"/>
            </w:tcBorders>
            <w:vAlign w:val="top"/>
          </w:tcPr>
          <w:p w14:paraId="5B2B1FF9">
            <w:pPr>
              <w:pStyle w:val="530"/>
              <w:keepNext w:val="0"/>
              <w:keepLines w:val="0"/>
              <w:pageBreakBefore w:val="0"/>
              <w:widowControl w:val="0"/>
              <w:kinsoku/>
              <w:wordWrap/>
              <w:overflowPunct/>
              <w:topLinePunct w:val="0"/>
              <w:autoSpaceDE/>
              <w:autoSpaceDN/>
              <w:bidi w:val="0"/>
              <w:adjustRightInd/>
              <w:snapToGrid/>
              <w:spacing w:before="67" w:line="240" w:lineRule="auto"/>
              <w:ind w:left="0"/>
              <w:textAlignment w:val="auto"/>
              <w:rPr>
                <w:color w:val="auto"/>
              </w:rPr>
            </w:pPr>
            <w:r>
              <w:rPr>
                <w:color w:val="auto"/>
                <w:spacing w:val="-5"/>
              </w:rPr>
              <w:t>防喷水</w:t>
            </w:r>
          </w:p>
        </w:tc>
        <w:tc>
          <w:tcPr>
            <w:tcW w:w="6524" w:type="dxa"/>
            <w:tcBorders>
              <w:left w:val="single" w:color="000000" w:sz="2" w:space="0"/>
            </w:tcBorders>
            <w:vAlign w:val="top"/>
          </w:tcPr>
          <w:p w14:paraId="6630C045">
            <w:pPr>
              <w:pStyle w:val="530"/>
              <w:keepNext w:val="0"/>
              <w:keepLines w:val="0"/>
              <w:pageBreakBefore w:val="0"/>
              <w:widowControl w:val="0"/>
              <w:kinsoku/>
              <w:wordWrap/>
              <w:overflowPunct/>
              <w:topLinePunct w:val="0"/>
              <w:autoSpaceDE/>
              <w:autoSpaceDN/>
              <w:bidi w:val="0"/>
              <w:adjustRightInd/>
              <w:snapToGrid/>
              <w:spacing w:before="67" w:line="240" w:lineRule="auto"/>
              <w:ind w:left="0"/>
              <w:textAlignment w:val="auto"/>
              <w:rPr>
                <w:color w:val="auto"/>
              </w:rPr>
            </w:pPr>
            <w:r>
              <w:rPr>
                <w:rFonts w:hint="eastAsia"/>
                <w:color w:val="auto"/>
                <w:spacing w:val="-3"/>
                <w:lang w:val="en-US" w:eastAsia="zh-CN"/>
              </w:rPr>
              <w:t>向外壳各方向喷水</w:t>
            </w:r>
            <w:r>
              <w:rPr>
                <w:color w:val="auto"/>
                <w:spacing w:val="-3"/>
              </w:rPr>
              <w:t>无有害影响。</w:t>
            </w:r>
          </w:p>
        </w:tc>
      </w:tr>
      <w:tr w14:paraId="2056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270" w:type="dxa"/>
            <w:tcBorders>
              <w:right w:val="single" w:color="000000" w:sz="2" w:space="0"/>
            </w:tcBorders>
            <w:vAlign w:val="center"/>
          </w:tcPr>
          <w:p w14:paraId="3ACC86F2">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rPr>
            </w:pPr>
            <w:r>
              <w:rPr>
                <w:color w:val="auto"/>
              </w:rPr>
              <w:t>6</w:t>
            </w:r>
          </w:p>
        </w:tc>
        <w:tc>
          <w:tcPr>
            <w:tcW w:w="1783" w:type="dxa"/>
            <w:tcBorders>
              <w:left w:val="single" w:color="000000" w:sz="2" w:space="0"/>
              <w:right w:val="single" w:color="000000" w:sz="2" w:space="0"/>
            </w:tcBorders>
            <w:vAlign w:val="top"/>
          </w:tcPr>
          <w:p w14:paraId="72A9A7C4">
            <w:pPr>
              <w:pStyle w:val="530"/>
              <w:keepNext w:val="0"/>
              <w:keepLines w:val="0"/>
              <w:pageBreakBefore w:val="0"/>
              <w:widowControl w:val="0"/>
              <w:kinsoku/>
              <w:wordWrap/>
              <w:overflowPunct/>
              <w:topLinePunct w:val="0"/>
              <w:autoSpaceDE/>
              <w:autoSpaceDN/>
              <w:bidi w:val="0"/>
              <w:adjustRightInd/>
              <w:snapToGrid/>
              <w:spacing w:before="70" w:line="240" w:lineRule="auto"/>
              <w:ind w:left="0"/>
              <w:textAlignment w:val="auto"/>
              <w:rPr>
                <w:color w:val="auto"/>
              </w:rPr>
            </w:pPr>
            <w:r>
              <w:rPr>
                <w:color w:val="auto"/>
                <w:spacing w:val="-3"/>
              </w:rPr>
              <w:t>防</w:t>
            </w:r>
            <w:r>
              <w:rPr>
                <w:rFonts w:hint="eastAsia"/>
                <w:color w:val="auto"/>
                <w:spacing w:val="-3"/>
                <w:lang w:val="en-US" w:eastAsia="zh-CN"/>
              </w:rPr>
              <w:t>强烈</w:t>
            </w:r>
            <w:r>
              <w:rPr>
                <w:color w:val="auto"/>
                <w:spacing w:val="-3"/>
              </w:rPr>
              <w:t>喷水</w:t>
            </w:r>
          </w:p>
        </w:tc>
        <w:tc>
          <w:tcPr>
            <w:tcW w:w="6524" w:type="dxa"/>
            <w:tcBorders>
              <w:left w:val="single" w:color="000000" w:sz="2" w:space="0"/>
            </w:tcBorders>
            <w:vAlign w:val="top"/>
          </w:tcPr>
          <w:p w14:paraId="520D1165">
            <w:pPr>
              <w:pStyle w:val="530"/>
              <w:keepNext w:val="0"/>
              <w:keepLines w:val="0"/>
              <w:pageBreakBefore w:val="0"/>
              <w:widowControl w:val="0"/>
              <w:kinsoku/>
              <w:wordWrap/>
              <w:overflowPunct/>
              <w:topLinePunct w:val="0"/>
              <w:autoSpaceDE/>
              <w:autoSpaceDN/>
              <w:bidi w:val="0"/>
              <w:adjustRightInd/>
              <w:snapToGrid/>
              <w:spacing w:before="70" w:line="240" w:lineRule="auto"/>
              <w:ind w:left="0"/>
              <w:textAlignment w:val="auto"/>
              <w:rPr>
                <w:color w:val="auto"/>
              </w:rPr>
            </w:pPr>
            <w:r>
              <w:rPr>
                <w:rFonts w:hint="eastAsia"/>
                <w:color w:val="auto"/>
                <w:spacing w:val="-2"/>
                <w:lang w:val="en-US" w:eastAsia="zh-CN"/>
              </w:rPr>
              <w:t>向外壳各个方向强烈喷水</w:t>
            </w:r>
            <w:r>
              <w:rPr>
                <w:color w:val="auto"/>
                <w:spacing w:val="-2"/>
              </w:rPr>
              <w:t>无有害影响。</w:t>
            </w:r>
          </w:p>
        </w:tc>
      </w:tr>
      <w:tr w14:paraId="046CC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270" w:type="dxa"/>
            <w:tcBorders>
              <w:bottom w:val="single" w:color="000000" w:sz="2" w:space="0"/>
              <w:right w:val="single" w:color="000000" w:sz="2" w:space="0"/>
            </w:tcBorders>
            <w:vAlign w:val="center"/>
          </w:tcPr>
          <w:p w14:paraId="58707C1B">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rPr>
            </w:pPr>
            <w:r>
              <w:rPr>
                <w:color w:val="auto"/>
              </w:rPr>
              <w:t>7</w:t>
            </w:r>
          </w:p>
        </w:tc>
        <w:tc>
          <w:tcPr>
            <w:tcW w:w="1783" w:type="dxa"/>
            <w:tcBorders>
              <w:left w:val="single" w:color="000000" w:sz="2" w:space="0"/>
              <w:bottom w:val="single" w:color="000000" w:sz="2" w:space="0"/>
              <w:right w:val="single" w:color="000000" w:sz="2" w:space="0"/>
            </w:tcBorders>
            <w:vAlign w:val="top"/>
          </w:tcPr>
          <w:p w14:paraId="4C1C1876">
            <w:pPr>
              <w:pStyle w:val="530"/>
              <w:keepNext w:val="0"/>
              <w:keepLines w:val="0"/>
              <w:pageBreakBefore w:val="0"/>
              <w:widowControl w:val="0"/>
              <w:kinsoku/>
              <w:wordWrap/>
              <w:overflowPunct/>
              <w:topLinePunct w:val="0"/>
              <w:autoSpaceDE/>
              <w:autoSpaceDN/>
              <w:bidi w:val="0"/>
              <w:adjustRightInd/>
              <w:snapToGrid/>
              <w:spacing w:before="70" w:line="240" w:lineRule="auto"/>
              <w:ind w:left="0"/>
              <w:textAlignment w:val="auto"/>
              <w:rPr>
                <w:rFonts w:hint="eastAsia" w:eastAsia="宋体"/>
                <w:color w:val="auto"/>
                <w:lang w:val="en-US" w:eastAsia="zh-CN"/>
              </w:rPr>
            </w:pPr>
            <w:r>
              <w:rPr>
                <w:rFonts w:hint="eastAsia"/>
                <w:color w:val="auto"/>
                <w:spacing w:val="-2"/>
                <w:lang w:val="en-US" w:eastAsia="zh-CN"/>
              </w:rPr>
              <w:t>防短时间</w:t>
            </w:r>
            <w:r>
              <w:rPr>
                <w:color w:val="auto"/>
                <w:spacing w:val="-2"/>
              </w:rPr>
              <w:t>浸水</w:t>
            </w:r>
            <w:r>
              <w:rPr>
                <w:rFonts w:hint="eastAsia"/>
                <w:color w:val="auto"/>
                <w:spacing w:val="-2"/>
                <w:lang w:val="en-US" w:eastAsia="zh-CN"/>
              </w:rPr>
              <w:t>影响</w:t>
            </w:r>
          </w:p>
        </w:tc>
        <w:tc>
          <w:tcPr>
            <w:tcW w:w="6524" w:type="dxa"/>
            <w:tcBorders>
              <w:left w:val="single" w:color="000000" w:sz="2" w:space="0"/>
              <w:bottom w:val="single" w:color="000000" w:sz="2" w:space="0"/>
            </w:tcBorders>
            <w:vAlign w:val="top"/>
          </w:tcPr>
          <w:p w14:paraId="73B889B5">
            <w:pPr>
              <w:pStyle w:val="530"/>
              <w:keepNext w:val="0"/>
              <w:keepLines w:val="0"/>
              <w:pageBreakBefore w:val="0"/>
              <w:widowControl w:val="0"/>
              <w:kinsoku/>
              <w:wordWrap/>
              <w:overflowPunct/>
              <w:topLinePunct w:val="0"/>
              <w:autoSpaceDE/>
              <w:autoSpaceDN/>
              <w:bidi w:val="0"/>
              <w:adjustRightInd/>
              <w:snapToGrid/>
              <w:spacing w:before="70" w:line="240" w:lineRule="auto"/>
              <w:ind w:left="0"/>
              <w:textAlignment w:val="auto"/>
              <w:rPr>
                <w:color w:val="auto"/>
              </w:rPr>
            </w:pPr>
            <w:r>
              <w:rPr>
                <w:rFonts w:hint="eastAsia"/>
                <w:color w:val="auto"/>
                <w:spacing w:val="-2"/>
                <w:lang w:val="en-US" w:eastAsia="zh-CN"/>
              </w:rPr>
              <w:t>浸入规定压力的书中经规定时间后外壳进水量不致达有害程度</w:t>
            </w:r>
            <w:r>
              <w:rPr>
                <w:color w:val="auto"/>
                <w:spacing w:val="-2"/>
              </w:rPr>
              <w:t>。</w:t>
            </w:r>
          </w:p>
        </w:tc>
      </w:tr>
      <w:tr w14:paraId="1518A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270" w:type="dxa"/>
            <w:tcBorders>
              <w:top w:val="single" w:color="000000" w:sz="2" w:space="0"/>
              <w:bottom w:val="single" w:color="000000" w:sz="2" w:space="0"/>
              <w:right w:val="single" w:color="000000" w:sz="2" w:space="0"/>
            </w:tcBorders>
            <w:vAlign w:val="center"/>
          </w:tcPr>
          <w:p w14:paraId="78FE9FC1">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auto"/>
              </w:rPr>
            </w:pPr>
            <w:r>
              <w:rPr>
                <w:color w:val="auto"/>
              </w:rPr>
              <w:t>8</w:t>
            </w:r>
          </w:p>
        </w:tc>
        <w:tc>
          <w:tcPr>
            <w:tcW w:w="1783" w:type="dxa"/>
            <w:tcBorders>
              <w:top w:val="single" w:color="000000" w:sz="2" w:space="0"/>
              <w:left w:val="single" w:color="000000" w:sz="2" w:space="0"/>
              <w:bottom w:val="single" w:color="000000" w:sz="2" w:space="0"/>
              <w:right w:val="single" w:color="000000" w:sz="2" w:space="0"/>
            </w:tcBorders>
            <w:vAlign w:val="top"/>
          </w:tcPr>
          <w:p w14:paraId="40B8BA96">
            <w:pPr>
              <w:pStyle w:val="530"/>
              <w:keepNext w:val="0"/>
              <w:keepLines w:val="0"/>
              <w:pageBreakBefore w:val="0"/>
              <w:widowControl w:val="0"/>
              <w:kinsoku/>
              <w:wordWrap/>
              <w:overflowPunct/>
              <w:topLinePunct w:val="0"/>
              <w:autoSpaceDE/>
              <w:autoSpaceDN/>
              <w:bidi w:val="0"/>
              <w:adjustRightInd/>
              <w:snapToGrid/>
              <w:spacing w:before="77" w:line="240" w:lineRule="auto"/>
              <w:ind w:left="0"/>
              <w:textAlignment w:val="auto"/>
              <w:rPr>
                <w:rFonts w:hint="default" w:eastAsia="宋体"/>
                <w:color w:val="auto"/>
                <w:lang w:val="en-US" w:eastAsia="zh-CN"/>
              </w:rPr>
            </w:pPr>
            <w:r>
              <w:rPr>
                <w:rFonts w:hint="eastAsia"/>
                <w:color w:val="auto"/>
                <w:spacing w:val="-2"/>
                <w:lang w:val="en-US" w:eastAsia="zh-CN"/>
              </w:rPr>
              <w:t>防持续浸水影响</w:t>
            </w:r>
          </w:p>
        </w:tc>
        <w:tc>
          <w:tcPr>
            <w:tcW w:w="6524" w:type="dxa"/>
            <w:tcBorders>
              <w:top w:val="single" w:color="000000" w:sz="2" w:space="0"/>
              <w:left w:val="single" w:color="000000" w:sz="2" w:space="0"/>
              <w:bottom w:val="single" w:color="000000" w:sz="2" w:space="0"/>
            </w:tcBorders>
            <w:vAlign w:val="top"/>
          </w:tcPr>
          <w:p w14:paraId="2FB313D9">
            <w:pPr>
              <w:pStyle w:val="530"/>
              <w:keepNext w:val="0"/>
              <w:keepLines w:val="0"/>
              <w:pageBreakBefore w:val="0"/>
              <w:widowControl w:val="0"/>
              <w:kinsoku/>
              <w:wordWrap/>
              <w:overflowPunct/>
              <w:topLinePunct w:val="0"/>
              <w:autoSpaceDE/>
              <w:autoSpaceDN/>
              <w:bidi w:val="0"/>
              <w:adjustRightInd/>
              <w:snapToGrid/>
              <w:spacing w:before="77" w:line="240" w:lineRule="auto"/>
              <w:ind w:left="0"/>
              <w:textAlignment w:val="auto"/>
              <w:rPr>
                <w:color w:val="auto"/>
              </w:rPr>
            </w:pPr>
            <w:r>
              <w:rPr>
                <w:rFonts w:hint="eastAsia"/>
                <w:color w:val="auto"/>
                <w:spacing w:val="-2"/>
                <w:lang w:val="en-US" w:eastAsia="zh-CN"/>
              </w:rPr>
              <w:t>按生产厂和用户双方同意的条件（应比特征数字为7时严酷）持续潜水后外壳进水量不致达有害程度</w:t>
            </w:r>
            <w:r>
              <w:rPr>
                <w:color w:val="auto"/>
                <w:spacing w:val="-2"/>
              </w:rPr>
              <w:t>。</w:t>
            </w:r>
          </w:p>
        </w:tc>
      </w:tr>
      <w:tr w14:paraId="5F973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270" w:type="dxa"/>
            <w:tcBorders>
              <w:top w:val="single" w:color="000000" w:sz="2" w:space="0"/>
              <w:right w:val="single" w:color="000000" w:sz="2" w:space="0"/>
            </w:tcBorders>
            <w:vAlign w:val="center"/>
          </w:tcPr>
          <w:p w14:paraId="56053519">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eastAsia="宋体"/>
                <w:color w:val="auto"/>
                <w:lang w:val="en-US" w:eastAsia="zh-CN"/>
              </w:rPr>
            </w:pPr>
            <w:r>
              <w:rPr>
                <w:rFonts w:hint="eastAsia"/>
                <w:color w:val="auto"/>
                <w:lang w:val="en-US" w:eastAsia="zh-CN"/>
              </w:rPr>
              <w:t>9</w:t>
            </w:r>
          </w:p>
        </w:tc>
        <w:tc>
          <w:tcPr>
            <w:tcW w:w="1783" w:type="dxa"/>
            <w:tcBorders>
              <w:top w:val="single" w:color="000000" w:sz="2" w:space="0"/>
              <w:left w:val="single" w:color="000000" w:sz="2" w:space="0"/>
              <w:right w:val="single" w:color="000000" w:sz="2" w:space="0"/>
            </w:tcBorders>
            <w:vAlign w:val="top"/>
          </w:tcPr>
          <w:p w14:paraId="496F3FC5">
            <w:pPr>
              <w:pStyle w:val="530"/>
              <w:keepNext w:val="0"/>
              <w:keepLines w:val="0"/>
              <w:pageBreakBefore w:val="0"/>
              <w:widowControl w:val="0"/>
              <w:kinsoku/>
              <w:wordWrap/>
              <w:overflowPunct/>
              <w:topLinePunct w:val="0"/>
              <w:autoSpaceDE/>
              <w:autoSpaceDN/>
              <w:bidi w:val="0"/>
              <w:adjustRightInd/>
              <w:snapToGrid/>
              <w:spacing w:before="77" w:line="240" w:lineRule="auto"/>
              <w:ind w:left="0"/>
              <w:textAlignment w:val="auto"/>
              <w:rPr>
                <w:rFonts w:hint="default"/>
                <w:color w:val="auto"/>
                <w:spacing w:val="-2"/>
                <w:lang w:val="en-US" w:eastAsia="zh-CN"/>
              </w:rPr>
            </w:pPr>
            <w:r>
              <w:rPr>
                <w:rFonts w:hint="eastAsia"/>
                <w:color w:val="auto"/>
                <w:spacing w:val="-2"/>
                <w:lang w:val="en-US" w:eastAsia="zh-CN"/>
              </w:rPr>
              <w:t>防高温/高压喷水的影响</w:t>
            </w:r>
          </w:p>
        </w:tc>
        <w:tc>
          <w:tcPr>
            <w:tcW w:w="6524" w:type="dxa"/>
            <w:tcBorders>
              <w:top w:val="single" w:color="000000" w:sz="2" w:space="0"/>
              <w:left w:val="single" w:color="000000" w:sz="2" w:space="0"/>
            </w:tcBorders>
            <w:vAlign w:val="top"/>
          </w:tcPr>
          <w:p w14:paraId="611A2E2B">
            <w:pPr>
              <w:pStyle w:val="530"/>
              <w:keepNext w:val="0"/>
              <w:keepLines w:val="0"/>
              <w:pageBreakBefore w:val="0"/>
              <w:widowControl w:val="0"/>
              <w:kinsoku/>
              <w:wordWrap/>
              <w:overflowPunct/>
              <w:topLinePunct w:val="0"/>
              <w:autoSpaceDE/>
              <w:autoSpaceDN/>
              <w:bidi w:val="0"/>
              <w:adjustRightInd/>
              <w:snapToGrid/>
              <w:spacing w:before="77" w:line="240" w:lineRule="auto"/>
              <w:ind w:left="0"/>
              <w:textAlignment w:val="auto"/>
              <w:rPr>
                <w:rFonts w:hint="default"/>
                <w:color w:val="auto"/>
                <w:spacing w:val="-2"/>
                <w:lang w:val="en-US" w:eastAsia="zh-CN"/>
              </w:rPr>
            </w:pPr>
            <w:r>
              <w:rPr>
                <w:rFonts w:hint="eastAsia"/>
                <w:color w:val="auto"/>
                <w:spacing w:val="-2"/>
                <w:lang w:val="en-US" w:eastAsia="zh-CN"/>
              </w:rPr>
              <w:t>向外壳各方向喷射高温/高压水无有害影响</w:t>
            </w:r>
          </w:p>
        </w:tc>
      </w:tr>
    </w:tbl>
    <w:p w14:paraId="4BF517DF">
      <w:pPr>
        <w:rPr>
          <w:rFonts w:hint="eastAsia"/>
          <w:color w:val="auto"/>
          <w:lang w:val="en-US" w:eastAsia="zh-CN"/>
        </w:rPr>
      </w:pPr>
      <w:r>
        <w:rPr>
          <w:rFonts w:hint="eastAsia"/>
          <w:color w:val="auto"/>
          <w:lang w:val="en-US" w:eastAsia="zh-CN"/>
        </w:rPr>
        <w:br w:type="page"/>
      </w:r>
    </w:p>
    <w:p w14:paraId="7BE9819E">
      <w:pPr>
        <w:rPr>
          <w:rFonts w:hint="eastAsia"/>
          <w:color w:val="auto"/>
          <w:lang w:val="en-US" w:eastAsia="zh-CN"/>
        </w:rPr>
        <w:sectPr>
          <w:pgSz w:w="11907" w:h="16839"/>
          <w:pgMar w:top="1418" w:right="1134" w:bottom="1134" w:left="1418" w:header="1418" w:footer="1134" w:gutter="0"/>
          <w:lnNumType w:countBy="0" w:restart="continuous"/>
          <w:pgNumType w:fmt="decimal"/>
          <w:cols w:space="425" w:num="1"/>
          <w:rtlGutter w:val="0"/>
          <w:docGrid w:type="lines" w:linePitch="312" w:charSpace="0"/>
        </w:sectPr>
      </w:pPr>
    </w:p>
    <w:p w14:paraId="58E255C9">
      <w:pPr>
        <w:pStyle w:val="347"/>
        <w:bidi w:val="0"/>
        <w:ind w:left="0" w:leftChars="0" w:firstLine="0" w:firstLineChars="0"/>
        <w:rPr>
          <w:rFonts w:hint="eastAsia"/>
          <w:color w:val="auto"/>
          <w:lang w:val="en-US" w:eastAsia="zh-CN"/>
        </w:rPr>
      </w:pPr>
    </w:p>
    <w:p w14:paraId="1C2AB50A">
      <w:pPr>
        <w:pStyle w:val="348"/>
        <w:bidi w:val="0"/>
        <w:ind w:left="0" w:leftChars="0" w:firstLine="0" w:firstLineChars="0"/>
        <w:rPr>
          <w:rFonts w:hint="eastAsia"/>
          <w:color w:val="auto"/>
          <w:lang w:val="en-US" w:eastAsia="zh-CN"/>
        </w:rPr>
      </w:pPr>
    </w:p>
    <w:bookmarkEnd w:id="582"/>
    <w:bookmarkEnd w:id="583"/>
    <w:bookmarkEnd w:id="584"/>
    <w:bookmarkEnd w:id="585"/>
    <w:bookmarkEnd w:id="586"/>
    <w:bookmarkEnd w:id="587"/>
    <w:bookmarkEnd w:id="588"/>
    <w:bookmarkEnd w:id="589"/>
    <w:bookmarkEnd w:id="590"/>
    <w:p w14:paraId="005F643D">
      <w:pPr>
        <w:pStyle w:val="274"/>
        <w:bidi w:val="0"/>
        <w:jc w:val="center"/>
        <w:rPr>
          <w:rFonts w:hint="eastAsia"/>
          <w:color w:val="auto"/>
          <w:lang w:val="en-US" w:eastAsia="zh-CN"/>
        </w:rPr>
      </w:pPr>
      <w:bookmarkStart w:id="608" w:name="_Toc4180"/>
      <w:bookmarkStart w:id="609" w:name="_Toc13483"/>
      <w:bookmarkStart w:id="610" w:name="_Toc2190"/>
      <w:bookmarkStart w:id="611" w:name="_Toc15724"/>
      <w:bookmarkStart w:id="612" w:name="_Toc26082"/>
      <w:bookmarkStart w:id="613" w:name="_Toc2731"/>
      <w:bookmarkStart w:id="614" w:name="_Toc4891"/>
      <w:bookmarkStart w:id="615" w:name="_Toc20016"/>
      <w:bookmarkStart w:id="616" w:name="_Toc12374"/>
      <w:bookmarkStart w:id="617" w:name="附录头部信息书签_3"/>
      <w:bookmarkStart w:id="618" w:name="_Toc5768"/>
      <w:bookmarkStart w:id="619" w:name="_Toc18848"/>
      <w:bookmarkStart w:id="620" w:name="_Toc24941"/>
      <w:r>
        <w:rPr>
          <w:rFonts w:hint="eastAsia"/>
          <w:color w:val="auto"/>
          <w:lang w:val="en-US" w:eastAsia="zh-CN"/>
        </w:rPr>
        <w:br w:type="textWrapping"/>
      </w:r>
      <w:r>
        <w:rPr>
          <w:rFonts w:hint="eastAsia"/>
          <w:color w:val="auto"/>
          <w:lang w:val="en-US" w:eastAsia="zh-CN"/>
        </w:rPr>
        <w:t>（规范性）</w:t>
      </w:r>
      <w:r>
        <w:rPr>
          <w:rFonts w:hint="eastAsia"/>
          <w:color w:val="auto"/>
          <w:lang w:val="en-US" w:eastAsia="zh-CN"/>
        </w:rPr>
        <w:br w:type="textWrapping"/>
      </w:r>
      <w:r>
        <w:rPr>
          <w:rFonts w:hint="eastAsia"/>
          <w:color w:val="auto"/>
          <w:lang w:val="en-US" w:eastAsia="zh-CN"/>
        </w:rPr>
        <w:t>检查条款危险等级划分</w:t>
      </w:r>
      <w:bookmarkEnd w:id="608"/>
      <w:bookmarkEnd w:id="609"/>
      <w:bookmarkEnd w:id="610"/>
      <w:bookmarkEnd w:id="611"/>
      <w:bookmarkEnd w:id="612"/>
      <w:bookmarkEnd w:id="613"/>
      <w:bookmarkEnd w:id="614"/>
      <w:bookmarkEnd w:id="615"/>
      <w:bookmarkEnd w:id="616"/>
      <w:bookmarkEnd w:id="617"/>
      <w:bookmarkEnd w:id="618"/>
      <w:bookmarkEnd w:id="619"/>
      <w:bookmarkEnd w:id="620"/>
    </w:p>
    <w:p w14:paraId="49F62922">
      <w:pPr>
        <w:pStyle w:val="275"/>
        <w:bidi w:val="0"/>
        <w:ind w:left="0" w:leftChars="0" w:firstLine="0" w:firstLineChars="0"/>
        <w:rPr>
          <w:rFonts w:hint="eastAsia"/>
          <w:color w:val="auto"/>
          <w:lang w:val="en-US" w:eastAsia="zh-CN"/>
        </w:rPr>
      </w:pPr>
      <w:bookmarkStart w:id="621" w:name="_Toc20326"/>
      <w:bookmarkStart w:id="622" w:name="_Toc28183"/>
      <w:bookmarkStart w:id="623" w:name="_Toc11408"/>
      <w:bookmarkStart w:id="624" w:name="_Toc4269"/>
      <w:bookmarkStart w:id="625" w:name="_Toc13875"/>
      <w:bookmarkStart w:id="626" w:name="_Toc24887"/>
      <w:bookmarkStart w:id="627" w:name="_Toc28775"/>
      <w:bookmarkStart w:id="628" w:name="_Toc9275"/>
      <w:bookmarkStart w:id="629" w:name="_Toc26875"/>
      <w:bookmarkStart w:id="630" w:name="_Toc894"/>
      <w:r>
        <w:rPr>
          <w:color w:val="auto"/>
          <w:lang w:val="en-US" w:eastAsia="zh-CN"/>
        </w:rPr>
        <w:t>直观检查条款危险等级划分表</w:t>
      </w:r>
      <w:bookmarkEnd w:id="621"/>
      <w:bookmarkEnd w:id="622"/>
      <w:bookmarkEnd w:id="623"/>
      <w:bookmarkEnd w:id="624"/>
      <w:bookmarkEnd w:id="625"/>
      <w:bookmarkEnd w:id="626"/>
      <w:bookmarkEnd w:id="627"/>
      <w:bookmarkEnd w:id="628"/>
      <w:bookmarkEnd w:id="629"/>
      <w:bookmarkEnd w:id="630"/>
    </w:p>
    <w:tbl>
      <w:tblPr>
        <w:tblStyle w:val="531"/>
        <w:tblpPr w:leftFromText="180" w:rightFromText="180" w:vertAnchor="text" w:horzAnchor="page" w:tblpX="1274" w:tblpY="211"/>
        <w:tblOverlap w:val="never"/>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3"/>
        <w:gridCol w:w="8660"/>
      </w:tblGrid>
      <w:tr w14:paraId="775E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763" w:type="dxa"/>
            <w:vAlign w:val="center"/>
          </w:tcPr>
          <w:p w14:paraId="43A41A4E">
            <w:pPr>
              <w:pStyle w:val="53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级别</w:t>
            </w:r>
          </w:p>
        </w:tc>
        <w:tc>
          <w:tcPr>
            <w:tcW w:w="8660" w:type="dxa"/>
            <w:vAlign w:val="center"/>
          </w:tcPr>
          <w:p w14:paraId="3D350157">
            <w:pPr>
              <w:pStyle w:val="530"/>
              <w:keepNext w:val="0"/>
              <w:keepLines w:val="0"/>
              <w:pageBreakBefore w:val="0"/>
              <w:wordWrap/>
              <w:overflowPunct/>
              <w:topLinePunct w:val="0"/>
              <w:bidi w:val="0"/>
              <w:adjustRightInd/>
              <w:snapToGrid/>
              <w:spacing w:line="240" w:lineRule="auto"/>
              <w:ind w:left="0"/>
              <w:jc w:val="center"/>
              <w:rPr>
                <w:rFonts w:hint="eastAsia" w:ascii="宋体" w:hAnsi="宋体" w:eastAsia="宋体" w:cs="宋体"/>
                <w:color w:val="auto"/>
                <w:sz w:val="18"/>
                <w:szCs w:val="18"/>
              </w:rPr>
            </w:pPr>
            <w:r>
              <w:rPr>
                <w:rFonts w:hint="eastAsia" w:ascii="宋体" w:hAnsi="宋体" w:eastAsia="宋体" w:cs="宋体"/>
                <w:color w:val="auto"/>
                <w:spacing w:val="-5"/>
                <w:sz w:val="18"/>
                <w:szCs w:val="18"/>
              </w:rPr>
              <w:t>条</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5"/>
                <w:sz w:val="18"/>
                <w:szCs w:val="18"/>
              </w:rPr>
              <w:t>款</w:t>
            </w:r>
          </w:p>
        </w:tc>
      </w:tr>
      <w:tr w14:paraId="77CB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763" w:type="dxa"/>
            <w:vMerge w:val="restart"/>
            <w:vAlign w:val="center"/>
          </w:tcPr>
          <w:p w14:paraId="20CD5F63">
            <w:pPr>
              <w:pStyle w:val="530"/>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color w:val="auto"/>
                <w:spacing w:val="2"/>
                <w:kern w:val="2"/>
                <w:sz w:val="18"/>
                <w:szCs w:val="18"/>
                <w:lang w:val="en-US" w:eastAsia="en-US" w:bidi="ar-SA"/>
              </w:rPr>
            </w:pPr>
            <w:r>
              <w:rPr>
                <w:rFonts w:hint="eastAsia" w:ascii="宋体" w:hAnsi="宋体" w:eastAsia="宋体" w:cs="宋体"/>
                <w:color w:val="auto"/>
                <w:spacing w:val="2"/>
                <w:kern w:val="2"/>
                <w:sz w:val="18"/>
                <w:szCs w:val="18"/>
                <w:lang w:val="en-US" w:eastAsia="en-US" w:bidi="ar-SA"/>
              </w:rPr>
              <w:t>A 级</w:t>
            </w:r>
          </w:p>
        </w:tc>
        <w:tc>
          <w:tcPr>
            <w:tcW w:w="8660" w:type="dxa"/>
            <w:vAlign w:val="top"/>
          </w:tcPr>
          <w:p w14:paraId="13AB92D5">
            <w:pPr>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4.1                    4.2                     </w:t>
            </w:r>
            <w:r>
              <w:rPr>
                <w:rFonts w:hint="eastAsia" w:ascii="宋体" w:hAnsi="宋体" w:cs="宋体"/>
                <w:color w:val="auto"/>
                <w:sz w:val="18"/>
                <w:szCs w:val="18"/>
                <w:lang w:val="en-US" w:eastAsia="zh-CN"/>
              </w:rPr>
              <w:t>6</w:t>
            </w:r>
            <w:r>
              <w:rPr>
                <w:rFonts w:hint="eastAsia" w:ascii="宋体" w:hAnsi="宋体" w:eastAsia="宋体" w:cs="宋体"/>
                <w:color w:val="auto"/>
                <w:sz w:val="18"/>
                <w:szCs w:val="18"/>
                <w:lang w:val="en-US" w:eastAsia="zh-CN"/>
              </w:rPr>
              <w:t xml:space="preserve">.1.1.1.1                 </w:t>
            </w:r>
            <w:r>
              <w:rPr>
                <w:rFonts w:hint="eastAsia" w:ascii="宋体" w:hAnsi="宋体" w:cs="宋体"/>
                <w:color w:val="auto"/>
                <w:sz w:val="18"/>
                <w:szCs w:val="18"/>
                <w:lang w:val="en-US" w:eastAsia="zh-CN"/>
              </w:rPr>
              <w:t>6</w:t>
            </w:r>
            <w:r>
              <w:rPr>
                <w:rFonts w:hint="eastAsia" w:ascii="宋体" w:hAnsi="宋体" w:eastAsia="宋体" w:cs="宋体"/>
                <w:color w:val="auto"/>
                <w:sz w:val="18"/>
                <w:szCs w:val="18"/>
                <w:lang w:val="en-US" w:eastAsia="zh-CN"/>
              </w:rPr>
              <w:t xml:space="preserve">.1.1.1.3  </w:t>
            </w:r>
          </w:p>
        </w:tc>
      </w:tr>
      <w:tr w14:paraId="7BBA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763" w:type="dxa"/>
            <w:vMerge w:val="continue"/>
            <w:vAlign w:val="center"/>
          </w:tcPr>
          <w:p w14:paraId="629010C3">
            <w:pPr>
              <w:pStyle w:val="530"/>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宋体" w:hAnsi="宋体" w:eastAsia="宋体" w:cs="宋体"/>
                <w:snapToGrid w:val="0"/>
                <w:color w:val="auto"/>
                <w:spacing w:val="-2"/>
                <w:kern w:val="0"/>
                <w:sz w:val="18"/>
                <w:szCs w:val="18"/>
                <w:lang w:val="en-US" w:eastAsia="en-US" w:bidi="ar-SA"/>
              </w:rPr>
            </w:pPr>
          </w:p>
        </w:tc>
        <w:tc>
          <w:tcPr>
            <w:tcW w:w="8660" w:type="dxa"/>
            <w:vAlign w:val="top"/>
          </w:tcPr>
          <w:p w14:paraId="42CD85E4">
            <w:p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6.2.1.1.7</w:t>
            </w:r>
            <w:r>
              <w:rPr>
                <w:rFonts w:hint="eastAsia" w:ascii="宋体" w:hAnsi="宋体" w:cs="宋体"/>
                <w:color w:val="auto"/>
                <w:sz w:val="18"/>
                <w:szCs w:val="18"/>
                <w:lang w:val="en-US" w:eastAsia="zh-CN"/>
              </w:rPr>
              <w:t xml:space="preserve">              6.3.3.1.5               6.4.1.1.4                 6.4.1.1.5</w:t>
            </w:r>
          </w:p>
        </w:tc>
      </w:tr>
      <w:tr w14:paraId="0B18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763" w:type="dxa"/>
            <w:vMerge w:val="continue"/>
            <w:vAlign w:val="center"/>
          </w:tcPr>
          <w:p w14:paraId="0DE13195">
            <w:pPr>
              <w:keepNext w:val="0"/>
              <w:keepLines w:val="0"/>
              <w:pageBreakBefore w:val="0"/>
              <w:wordWrap/>
              <w:overflowPunct/>
              <w:topLinePunct w:val="0"/>
              <w:bidi w:val="0"/>
              <w:adjustRightInd/>
              <w:snapToGrid/>
              <w:spacing w:line="240" w:lineRule="auto"/>
              <w:ind w:left="0"/>
              <w:jc w:val="center"/>
              <w:rPr>
                <w:rFonts w:hint="eastAsia" w:ascii="宋体" w:hAnsi="宋体" w:eastAsia="宋体" w:cs="宋体"/>
                <w:snapToGrid w:val="0"/>
                <w:color w:val="auto"/>
                <w:spacing w:val="-2"/>
                <w:kern w:val="0"/>
                <w:sz w:val="18"/>
                <w:szCs w:val="18"/>
                <w:lang w:val="en-US" w:eastAsia="en-US" w:bidi="ar-SA"/>
              </w:rPr>
            </w:pPr>
          </w:p>
        </w:tc>
        <w:tc>
          <w:tcPr>
            <w:tcW w:w="8660" w:type="dxa"/>
            <w:vAlign w:val="top"/>
          </w:tcPr>
          <w:p w14:paraId="77C05ACC">
            <w:p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6.4.1.1.6</w:t>
            </w:r>
            <w:r>
              <w:rPr>
                <w:rFonts w:hint="eastAsia" w:ascii="宋体" w:hAnsi="宋体" w:cs="宋体"/>
                <w:color w:val="auto"/>
                <w:sz w:val="18"/>
                <w:szCs w:val="18"/>
                <w:lang w:val="en-US" w:eastAsia="zh-CN"/>
              </w:rPr>
              <w:t xml:space="preserve">              6.4.1.1.8               6.6.1.1.1                 6.6.2.1.2</w:t>
            </w:r>
          </w:p>
        </w:tc>
      </w:tr>
      <w:tr w14:paraId="0D4D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restart"/>
            <w:vAlign w:val="center"/>
          </w:tcPr>
          <w:p w14:paraId="3F99EF80">
            <w:pPr>
              <w:keepNext w:val="0"/>
              <w:keepLines w:val="0"/>
              <w:pageBreakBefore w:val="0"/>
              <w:tabs>
                <w:tab w:val="left" w:pos="240"/>
              </w:tabs>
              <w:wordWrap/>
              <w:overflowPunct/>
              <w:topLinePunct w:val="0"/>
              <w:bidi w:val="0"/>
              <w:adjustRightInd/>
              <w:snapToGrid/>
              <w:spacing w:line="240" w:lineRule="auto"/>
              <w:ind w:left="0"/>
              <w:jc w:val="center"/>
              <w:rPr>
                <w:rFonts w:hint="eastAsia" w:ascii="宋体" w:hAnsi="宋体" w:eastAsia="宋体" w:cs="宋体"/>
                <w:snapToGrid w:val="0"/>
                <w:color w:val="auto"/>
                <w:spacing w:val="-2"/>
                <w:kern w:val="0"/>
                <w:sz w:val="18"/>
                <w:szCs w:val="18"/>
                <w:lang w:val="en-US" w:eastAsia="en-US" w:bidi="ar-SA"/>
              </w:rPr>
            </w:pPr>
            <w:r>
              <w:rPr>
                <w:rFonts w:hint="eastAsia" w:ascii="宋体" w:hAnsi="宋体" w:eastAsia="宋体" w:cs="宋体"/>
                <w:snapToGrid w:val="0"/>
                <w:color w:val="auto"/>
                <w:spacing w:val="-2"/>
                <w:kern w:val="0"/>
                <w:sz w:val="18"/>
                <w:szCs w:val="18"/>
                <w:lang w:val="en-US" w:eastAsia="en-US" w:bidi="ar-SA"/>
              </w:rPr>
              <w:t>B 级</w:t>
            </w:r>
          </w:p>
        </w:tc>
        <w:tc>
          <w:tcPr>
            <w:tcW w:w="8660" w:type="dxa"/>
            <w:vAlign w:val="top"/>
          </w:tcPr>
          <w:p w14:paraId="4378951D">
            <w:pPr>
              <w:jc w:val="lef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6</w:t>
            </w:r>
            <w:r>
              <w:rPr>
                <w:rFonts w:hint="eastAsia" w:ascii="宋体" w:hAnsi="宋体" w:eastAsia="宋体" w:cs="宋体"/>
                <w:color w:val="auto"/>
                <w:sz w:val="18"/>
                <w:szCs w:val="18"/>
                <w:lang w:val="en-US" w:eastAsia="zh-CN"/>
              </w:rPr>
              <w:t xml:space="preserve">.1.1.1.2              </w:t>
            </w:r>
            <w:r>
              <w:rPr>
                <w:rFonts w:hint="eastAsia" w:ascii="宋体" w:hAnsi="宋体" w:cs="宋体"/>
                <w:color w:val="auto"/>
                <w:sz w:val="18"/>
                <w:szCs w:val="18"/>
                <w:lang w:val="en-US" w:eastAsia="zh-CN"/>
              </w:rPr>
              <w:t>6</w:t>
            </w:r>
            <w:r>
              <w:rPr>
                <w:rFonts w:hint="eastAsia" w:ascii="宋体" w:hAnsi="宋体" w:eastAsia="宋体" w:cs="宋体"/>
                <w:color w:val="auto"/>
                <w:sz w:val="18"/>
                <w:szCs w:val="18"/>
                <w:lang w:val="en-US" w:eastAsia="zh-CN"/>
              </w:rPr>
              <w:t>.1.1.1.</w:t>
            </w:r>
            <w:r>
              <w:rPr>
                <w:rFonts w:hint="eastAsia" w:ascii="宋体" w:hAnsi="宋体" w:cs="宋体"/>
                <w:color w:val="auto"/>
                <w:sz w:val="18"/>
                <w:szCs w:val="18"/>
                <w:lang w:val="en-US" w:eastAsia="zh-CN"/>
              </w:rPr>
              <w:t>6</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6</w:t>
            </w:r>
            <w:r>
              <w:rPr>
                <w:rFonts w:hint="eastAsia" w:ascii="宋体" w:hAnsi="宋体" w:eastAsia="宋体" w:cs="宋体"/>
                <w:color w:val="auto"/>
                <w:sz w:val="18"/>
                <w:szCs w:val="18"/>
                <w:lang w:val="en-US" w:eastAsia="zh-CN"/>
              </w:rPr>
              <w:t>.1.1.1.</w:t>
            </w:r>
            <w:r>
              <w:rPr>
                <w:rFonts w:hint="eastAsia" w:ascii="宋体" w:hAnsi="宋体" w:cs="宋体"/>
                <w:color w:val="auto"/>
                <w:sz w:val="18"/>
                <w:szCs w:val="18"/>
                <w:lang w:val="en-US" w:eastAsia="zh-CN"/>
              </w:rPr>
              <w:t>7</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6</w:t>
            </w: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2</w:t>
            </w: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 xml:space="preserve">1 </w:t>
            </w:r>
          </w:p>
        </w:tc>
      </w:tr>
      <w:tr w14:paraId="0944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center"/>
          </w:tcPr>
          <w:p w14:paraId="2C9EB7CE">
            <w:pPr>
              <w:keepNext w:val="0"/>
              <w:keepLines w:val="0"/>
              <w:pageBreakBefore w:val="0"/>
              <w:wordWrap/>
              <w:overflowPunct/>
              <w:topLinePunct w:val="0"/>
              <w:bidi w:val="0"/>
              <w:adjustRightInd/>
              <w:snapToGrid/>
              <w:spacing w:line="240" w:lineRule="auto"/>
              <w:ind w:left="0"/>
              <w:jc w:val="center"/>
              <w:rPr>
                <w:rFonts w:hint="eastAsia" w:ascii="宋体" w:hAnsi="宋体" w:eastAsia="宋体" w:cs="宋体"/>
                <w:color w:val="auto"/>
                <w:sz w:val="18"/>
                <w:szCs w:val="18"/>
              </w:rPr>
            </w:pPr>
          </w:p>
        </w:tc>
        <w:tc>
          <w:tcPr>
            <w:tcW w:w="8660" w:type="dxa"/>
            <w:vAlign w:val="top"/>
          </w:tcPr>
          <w:p w14:paraId="1CC7CC47">
            <w:pPr>
              <w:jc w:val="lef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w:t>
            </w: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2</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2</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1              6</w:t>
            </w: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2</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3</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1               6</w:t>
            </w: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2</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4</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1                 6</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2</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1</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1</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1</w:t>
            </w:r>
          </w:p>
        </w:tc>
      </w:tr>
      <w:tr w14:paraId="6DCC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center"/>
          </w:tcPr>
          <w:p w14:paraId="74B27034">
            <w:pPr>
              <w:keepNext w:val="0"/>
              <w:keepLines w:val="0"/>
              <w:pageBreakBefore w:val="0"/>
              <w:wordWrap/>
              <w:overflowPunct/>
              <w:topLinePunct w:val="0"/>
              <w:bidi w:val="0"/>
              <w:adjustRightInd/>
              <w:snapToGrid/>
              <w:spacing w:line="240" w:lineRule="auto"/>
              <w:ind w:left="0"/>
              <w:jc w:val="center"/>
              <w:rPr>
                <w:rFonts w:hint="eastAsia" w:ascii="宋体" w:hAnsi="宋体" w:eastAsia="宋体" w:cs="宋体"/>
                <w:color w:val="auto"/>
                <w:sz w:val="18"/>
                <w:szCs w:val="18"/>
              </w:rPr>
            </w:pPr>
          </w:p>
        </w:tc>
        <w:tc>
          <w:tcPr>
            <w:tcW w:w="8660" w:type="dxa"/>
            <w:vAlign w:val="top"/>
          </w:tcPr>
          <w:p w14:paraId="70A68859">
            <w:p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6.2.1.1.3</w:t>
            </w:r>
            <w:r>
              <w:rPr>
                <w:rFonts w:hint="eastAsia" w:ascii="宋体" w:hAnsi="宋体" w:cs="宋体"/>
                <w:color w:val="auto"/>
                <w:sz w:val="18"/>
                <w:szCs w:val="18"/>
                <w:lang w:val="en-US" w:eastAsia="zh-CN"/>
              </w:rPr>
              <w:t xml:space="preserve">              6.2.1.1.6               6.2.1.1.8                 6.2.2.1.1</w:t>
            </w:r>
          </w:p>
        </w:tc>
      </w:tr>
      <w:tr w14:paraId="046F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center"/>
          </w:tcPr>
          <w:p w14:paraId="746FB87F">
            <w:pPr>
              <w:keepNext w:val="0"/>
              <w:keepLines w:val="0"/>
              <w:pageBreakBefore w:val="0"/>
              <w:wordWrap/>
              <w:overflowPunct/>
              <w:topLinePunct w:val="0"/>
              <w:bidi w:val="0"/>
              <w:adjustRightInd/>
              <w:snapToGrid/>
              <w:spacing w:line="240" w:lineRule="auto"/>
              <w:ind w:left="0"/>
              <w:jc w:val="center"/>
              <w:rPr>
                <w:rFonts w:hint="eastAsia" w:ascii="宋体" w:hAnsi="宋体" w:eastAsia="宋体" w:cs="宋体"/>
                <w:color w:val="auto"/>
                <w:sz w:val="18"/>
                <w:szCs w:val="18"/>
              </w:rPr>
            </w:pPr>
          </w:p>
        </w:tc>
        <w:tc>
          <w:tcPr>
            <w:tcW w:w="8660" w:type="dxa"/>
            <w:vAlign w:val="top"/>
          </w:tcPr>
          <w:p w14:paraId="7E8A2FAD">
            <w:p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6.2.3.1.2</w:t>
            </w:r>
            <w:r>
              <w:rPr>
                <w:rFonts w:hint="eastAsia" w:ascii="宋体" w:hAnsi="宋体" w:cs="宋体"/>
                <w:color w:val="auto"/>
                <w:sz w:val="18"/>
                <w:szCs w:val="18"/>
                <w:lang w:val="en-US" w:eastAsia="zh-CN"/>
              </w:rPr>
              <w:t xml:space="preserve">              6.2.3.1.3               6.3.1.1.1                 6.3.1.1.2</w:t>
            </w:r>
          </w:p>
        </w:tc>
      </w:tr>
      <w:tr w14:paraId="0B2F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center"/>
          </w:tcPr>
          <w:p w14:paraId="7F3F10D4">
            <w:pPr>
              <w:keepNext w:val="0"/>
              <w:keepLines w:val="0"/>
              <w:pageBreakBefore w:val="0"/>
              <w:wordWrap/>
              <w:overflowPunct/>
              <w:topLinePunct w:val="0"/>
              <w:bidi w:val="0"/>
              <w:adjustRightInd/>
              <w:snapToGrid/>
              <w:spacing w:line="240" w:lineRule="auto"/>
              <w:ind w:left="0"/>
              <w:jc w:val="center"/>
              <w:rPr>
                <w:rFonts w:hint="eastAsia" w:ascii="宋体" w:hAnsi="宋体" w:eastAsia="宋体" w:cs="宋体"/>
                <w:color w:val="auto"/>
                <w:sz w:val="18"/>
                <w:szCs w:val="18"/>
              </w:rPr>
            </w:pPr>
          </w:p>
        </w:tc>
        <w:tc>
          <w:tcPr>
            <w:tcW w:w="8660" w:type="dxa"/>
            <w:vAlign w:val="top"/>
          </w:tcPr>
          <w:p w14:paraId="2FD2A76B">
            <w:p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6.3.1.1.3</w:t>
            </w:r>
            <w:r>
              <w:rPr>
                <w:rFonts w:hint="eastAsia" w:ascii="宋体" w:hAnsi="宋体" w:cs="宋体"/>
                <w:color w:val="auto"/>
                <w:sz w:val="18"/>
                <w:szCs w:val="18"/>
                <w:lang w:val="en-US" w:eastAsia="zh-CN"/>
              </w:rPr>
              <w:t xml:space="preserve">              6.3.1.1.4               6.3.2.1.1                 6.3.2.1.2</w:t>
            </w:r>
          </w:p>
        </w:tc>
      </w:tr>
      <w:tr w14:paraId="5CC4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center"/>
          </w:tcPr>
          <w:p w14:paraId="28CAB081">
            <w:pPr>
              <w:keepNext w:val="0"/>
              <w:keepLines w:val="0"/>
              <w:pageBreakBefore w:val="0"/>
              <w:wordWrap/>
              <w:overflowPunct/>
              <w:topLinePunct w:val="0"/>
              <w:bidi w:val="0"/>
              <w:adjustRightInd/>
              <w:snapToGrid/>
              <w:spacing w:line="240" w:lineRule="auto"/>
              <w:ind w:left="0"/>
              <w:jc w:val="center"/>
              <w:rPr>
                <w:rFonts w:hint="eastAsia" w:ascii="宋体" w:hAnsi="宋体" w:eastAsia="宋体" w:cs="宋体"/>
                <w:color w:val="auto"/>
                <w:sz w:val="18"/>
                <w:szCs w:val="18"/>
              </w:rPr>
            </w:pPr>
          </w:p>
        </w:tc>
        <w:tc>
          <w:tcPr>
            <w:tcW w:w="8660" w:type="dxa"/>
            <w:vAlign w:val="top"/>
          </w:tcPr>
          <w:p w14:paraId="7076DD4E">
            <w:p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6.3.2.1.8</w:t>
            </w:r>
            <w:r>
              <w:rPr>
                <w:rFonts w:hint="eastAsia" w:ascii="宋体" w:hAnsi="宋体" w:cs="宋体"/>
                <w:color w:val="auto"/>
                <w:sz w:val="18"/>
                <w:szCs w:val="18"/>
                <w:lang w:val="en-US" w:eastAsia="zh-CN"/>
              </w:rPr>
              <w:t xml:space="preserve">              6.3.2.1.9               6.3.2.1.10                6.3.2.1.13</w:t>
            </w:r>
          </w:p>
        </w:tc>
      </w:tr>
      <w:tr w14:paraId="26DD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center"/>
          </w:tcPr>
          <w:p w14:paraId="21506C33">
            <w:pPr>
              <w:keepNext w:val="0"/>
              <w:keepLines w:val="0"/>
              <w:pageBreakBefore w:val="0"/>
              <w:wordWrap/>
              <w:overflowPunct/>
              <w:topLinePunct w:val="0"/>
              <w:bidi w:val="0"/>
              <w:adjustRightInd/>
              <w:snapToGrid/>
              <w:spacing w:line="240" w:lineRule="auto"/>
              <w:ind w:left="0"/>
              <w:jc w:val="center"/>
              <w:rPr>
                <w:rFonts w:hint="eastAsia" w:ascii="宋体" w:hAnsi="宋体" w:eastAsia="宋体" w:cs="宋体"/>
                <w:color w:val="auto"/>
                <w:sz w:val="18"/>
                <w:szCs w:val="18"/>
              </w:rPr>
            </w:pPr>
          </w:p>
        </w:tc>
        <w:tc>
          <w:tcPr>
            <w:tcW w:w="8660" w:type="dxa"/>
            <w:vAlign w:val="top"/>
          </w:tcPr>
          <w:p w14:paraId="5E74B018">
            <w:p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6.3.2.1.14</w:t>
            </w:r>
            <w:r>
              <w:rPr>
                <w:rFonts w:hint="eastAsia" w:ascii="宋体" w:hAnsi="宋体" w:cs="宋体"/>
                <w:color w:val="auto"/>
                <w:sz w:val="18"/>
                <w:szCs w:val="18"/>
                <w:lang w:val="en-US" w:eastAsia="zh-CN"/>
              </w:rPr>
              <w:t xml:space="preserve">             6.3.2.1.15              6.3.3.1.1                 6.3.3.1.2</w:t>
            </w:r>
          </w:p>
        </w:tc>
      </w:tr>
      <w:tr w14:paraId="2DBB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center"/>
          </w:tcPr>
          <w:p w14:paraId="59AF0E03">
            <w:pPr>
              <w:keepNext w:val="0"/>
              <w:keepLines w:val="0"/>
              <w:pageBreakBefore w:val="0"/>
              <w:wordWrap/>
              <w:overflowPunct/>
              <w:topLinePunct w:val="0"/>
              <w:bidi w:val="0"/>
              <w:adjustRightInd/>
              <w:snapToGrid/>
              <w:spacing w:line="240" w:lineRule="auto"/>
              <w:ind w:left="0"/>
              <w:jc w:val="center"/>
              <w:rPr>
                <w:rFonts w:hint="eastAsia" w:ascii="宋体" w:hAnsi="宋体" w:eastAsia="宋体" w:cs="宋体"/>
                <w:color w:val="auto"/>
                <w:sz w:val="18"/>
                <w:szCs w:val="18"/>
              </w:rPr>
            </w:pPr>
          </w:p>
        </w:tc>
        <w:tc>
          <w:tcPr>
            <w:tcW w:w="8660" w:type="dxa"/>
            <w:vAlign w:val="top"/>
          </w:tcPr>
          <w:p w14:paraId="2D9EE127">
            <w:p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6.3.3.1.3</w:t>
            </w:r>
            <w:r>
              <w:rPr>
                <w:rFonts w:hint="eastAsia" w:ascii="宋体" w:hAnsi="宋体" w:cs="宋体"/>
                <w:color w:val="auto"/>
                <w:sz w:val="18"/>
                <w:szCs w:val="18"/>
                <w:lang w:val="en-US" w:eastAsia="zh-CN"/>
              </w:rPr>
              <w:t xml:space="preserve">              6.3.3.1.4               6.4.1.1.3                 6.4.1.1.7</w:t>
            </w:r>
          </w:p>
        </w:tc>
      </w:tr>
      <w:tr w14:paraId="2382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center"/>
          </w:tcPr>
          <w:p w14:paraId="24ADAF67">
            <w:pPr>
              <w:keepNext w:val="0"/>
              <w:keepLines w:val="0"/>
              <w:pageBreakBefore w:val="0"/>
              <w:wordWrap/>
              <w:overflowPunct/>
              <w:topLinePunct w:val="0"/>
              <w:bidi w:val="0"/>
              <w:adjustRightInd/>
              <w:snapToGrid/>
              <w:spacing w:line="240" w:lineRule="auto"/>
              <w:ind w:left="0"/>
              <w:jc w:val="center"/>
              <w:rPr>
                <w:rFonts w:hint="eastAsia" w:ascii="宋体" w:hAnsi="宋体" w:eastAsia="宋体" w:cs="宋体"/>
                <w:color w:val="auto"/>
                <w:sz w:val="18"/>
                <w:szCs w:val="18"/>
              </w:rPr>
            </w:pPr>
          </w:p>
        </w:tc>
        <w:tc>
          <w:tcPr>
            <w:tcW w:w="8660" w:type="dxa"/>
            <w:vAlign w:val="top"/>
          </w:tcPr>
          <w:p w14:paraId="42FC9DE8">
            <w:pPr>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6.4.2.1.1</w:t>
            </w:r>
            <w:r>
              <w:rPr>
                <w:rFonts w:hint="eastAsia" w:ascii="宋体" w:hAnsi="宋体" w:cs="宋体"/>
                <w:color w:val="auto"/>
                <w:sz w:val="18"/>
                <w:szCs w:val="18"/>
                <w:lang w:val="en-US" w:eastAsia="zh-CN"/>
              </w:rPr>
              <w:t xml:space="preserve">              6.4.2.1.5               6.4.2.1.6                 6.5.3.1.1     </w:t>
            </w:r>
          </w:p>
        </w:tc>
      </w:tr>
      <w:tr w14:paraId="6DC5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center"/>
          </w:tcPr>
          <w:p w14:paraId="532906CF">
            <w:pPr>
              <w:keepNext w:val="0"/>
              <w:keepLines w:val="0"/>
              <w:pageBreakBefore w:val="0"/>
              <w:wordWrap/>
              <w:overflowPunct/>
              <w:topLinePunct w:val="0"/>
              <w:bidi w:val="0"/>
              <w:adjustRightInd/>
              <w:snapToGrid/>
              <w:spacing w:line="240" w:lineRule="auto"/>
              <w:ind w:left="0"/>
              <w:jc w:val="center"/>
              <w:rPr>
                <w:rFonts w:hint="eastAsia" w:ascii="宋体" w:hAnsi="宋体" w:eastAsia="宋体" w:cs="宋体"/>
                <w:color w:val="auto"/>
                <w:sz w:val="18"/>
                <w:szCs w:val="18"/>
              </w:rPr>
            </w:pPr>
          </w:p>
        </w:tc>
        <w:tc>
          <w:tcPr>
            <w:tcW w:w="8660" w:type="dxa"/>
            <w:vAlign w:val="top"/>
          </w:tcPr>
          <w:p w14:paraId="22E7331E">
            <w:p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 xml:space="preserve">6.5.3.1.2 </w:t>
            </w:r>
            <w:r>
              <w:rPr>
                <w:rFonts w:hint="eastAsia" w:ascii="宋体" w:hAnsi="宋体" w:cs="宋体"/>
                <w:color w:val="auto"/>
                <w:sz w:val="18"/>
                <w:szCs w:val="18"/>
                <w:lang w:val="en-US" w:eastAsia="zh-CN"/>
              </w:rPr>
              <w:t xml:space="preserve">             6.6.1.1.2               6.6.1.1.3                 6.6.1.1.4</w:t>
            </w:r>
          </w:p>
        </w:tc>
      </w:tr>
      <w:tr w14:paraId="45EE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center"/>
          </w:tcPr>
          <w:p w14:paraId="2C9A2ABA">
            <w:pPr>
              <w:keepNext w:val="0"/>
              <w:keepLines w:val="0"/>
              <w:pageBreakBefore w:val="0"/>
              <w:wordWrap/>
              <w:overflowPunct/>
              <w:topLinePunct w:val="0"/>
              <w:bidi w:val="0"/>
              <w:adjustRightInd/>
              <w:snapToGrid/>
              <w:spacing w:line="240" w:lineRule="auto"/>
              <w:ind w:left="0"/>
              <w:jc w:val="center"/>
              <w:rPr>
                <w:rFonts w:hint="eastAsia" w:ascii="宋体" w:hAnsi="宋体" w:eastAsia="宋体" w:cs="宋体"/>
                <w:color w:val="auto"/>
                <w:sz w:val="18"/>
                <w:szCs w:val="18"/>
              </w:rPr>
            </w:pPr>
          </w:p>
        </w:tc>
        <w:tc>
          <w:tcPr>
            <w:tcW w:w="8660" w:type="dxa"/>
            <w:vAlign w:val="top"/>
          </w:tcPr>
          <w:p w14:paraId="4D0E391E">
            <w:p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6.6.2.1.5</w:t>
            </w:r>
            <w:r>
              <w:rPr>
                <w:rFonts w:hint="eastAsia" w:ascii="宋体" w:hAnsi="宋体" w:cs="宋体"/>
                <w:color w:val="auto"/>
                <w:sz w:val="18"/>
                <w:szCs w:val="18"/>
                <w:lang w:val="en-US" w:eastAsia="zh-CN"/>
              </w:rPr>
              <w:t xml:space="preserve">              6.6.2.1.6               6.7.1.1.1                 6.7.1.1.2</w:t>
            </w:r>
          </w:p>
        </w:tc>
      </w:tr>
      <w:tr w14:paraId="585C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center"/>
          </w:tcPr>
          <w:p w14:paraId="03AE4CA2">
            <w:pPr>
              <w:keepNext w:val="0"/>
              <w:keepLines w:val="0"/>
              <w:pageBreakBefore w:val="0"/>
              <w:wordWrap/>
              <w:overflowPunct/>
              <w:topLinePunct w:val="0"/>
              <w:bidi w:val="0"/>
              <w:adjustRightInd/>
              <w:snapToGrid/>
              <w:spacing w:line="240" w:lineRule="auto"/>
              <w:ind w:left="0"/>
              <w:jc w:val="center"/>
              <w:rPr>
                <w:rFonts w:hint="eastAsia" w:ascii="宋体" w:hAnsi="宋体" w:eastAsia="宋体" w:cs="宋体"/>
                <w:color w:val="auto"/>
                <w:sz w:val="18"/>
                <w:szCs w:val="18"/>
              </w:rPr>
            </w:pPr>
          </w:p>
        </w:tc>
        <w:tc>
          <w:tcPr>
            <w:tcW w:w="8660" w:type="dxa"/>
            <w:vAlign w:val="top"/>
          </w:tcPr>
          <w:p w14:paraId="36E195A3">
            <w:p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6.7.1.1.3</w:t>
            </w:r>
            <w:r>
              <w:rPr>
                <w:rFonts w:hint="eastAsia" w:ascii="宋体" w:hAnsi="宋体" w:cs="宋体"/>
                <w:color w:val="auto"/>
                <w:sz w:val="18"/>
                <w:szCs w:val="18"/>
                <w:lang w:val="en-US" w:eastAsia="zh-CN"/>
              </w:rPr>
              <w:t xml:space="preserve">              6.7.1.1.4               6.7.1.1.5                 6.7.1.1.7</w:t>
            </w:r>
          </w:p>
        </w:tc>
      </w:tr>
      <w:tr w14:paraId="0732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center"/>
          </w:tcPr>
          <w:p w14:paraId="4B46B621">
            <w:pPr>
              <w:keepNext w:val="0"/>
              <w:keepLines w:val="0"/>
              <w:pageBreakBefore w:val="0"/>
              <w:wordWrap/>
              <w:overflowPunct/>
              <w:topLinePunct w:val="0"/>
              <w:bidi w:val="0"/>
              <w:adjustRightInd/>
              <w:snapToGrid/>
              <w:spacing w:line="240" w:lineRule="auto"/>
              <w:ind w:left="0"/>
              <w:jc w:val="center"/>
              <w:rPr>
                <w:rFonts w:hint="eastAsia" w:ascii="宋体" w:hAnsi="宋体" w:eastAsia="宋体" w:cs="宋体"/>
                <w:color w:val="auto"/>
                <w:sz w:val="18"/>
                <w:szCs w:val="18"/>
              </w:rPr>
            </w:pPr>
          </w:p>
        </w:tc>
        <w:tc>
          <w:tcPr>
            <w:tcW w:w="8660" w:type="dxa"/>
            <w:vAlign w:val="top"/>
          </w:tcPr>
          <w:p w14:paraId="21E230ED">
            <w:p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6.7.1.1.8</w:t>
            </w:r>
            <w:r>
              <w:rPr>
                <w:rFonts w:hint="eastAsia" w:ascii="宋体" w:hAnsi="宋体" w:cs="宋体"/>
                <w:color w:val="auto"/>
                <w:sz w:val="18"/>
                <w:szCs w:val="18"/>
                <w:lang w:val="en-US" w:eastAsia="zh-CN"/>
              </w:rPr>
              <w:t xml:space="preserve">              6.7.1.1.9               6.7.2.1.2                 6.7.2.1.3</w:t>
            </w:r>
          </w:p>
        </w:tc>
      </w:tr>
      <w:tr w14:paraId="3764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restart"/>
            <w:vAlign w:val="center"/>
          </w:tcPr>
          <w:p w14:paraId="4B1CE3AD">
            <w:pPr>
              <w:pStyle w:val="530"/>
              <w:keepNext w:val="0"/>
              <w:keepLines w:val="0"/>
              <w:pageBreakBefore w:val="0"/>
              <w:kinsoku/>
              <w:wordWrap/>
              <w:overflowPunct/>
              <w:topLinePunct w:val="0"/>
              <w:autoSpaceDE/>
              <w:autoSpaceDN/>
              <w:bidi w:val="0"/>
              <w:adjustRightInd/>
              <w:snapToGrid/>
              <w:spacing w:line="222" w:lineRule="auto"/>
              <w:jc w:val="center"/>
              <w:textAlignment w:val="auto"/>
              <w:rPr>
                <w:rFonts w:hint="eastAsia" w:ascii="宋体" w:hAnsi="宋体" w:eastAsia="宋体" w:cs="宋体"/>
                <w:color w:val="auto"/>
                <w:sz w:val="18"/>
                <w:szCs w:val="18"/>
              </w:rPr>
            </w:pPr>
            <w:r>
              <w:rPr>
                <w:rFonts w:hint="eastAsia" w:ascii="宋体" w:hAnsi="宋体" w:eastAsia="宋体" w:cs="宋体"/>
                <w:snapToGrid w:val="0"/>
                <w:color w:val="auto"/>
                <w:spacing w:val="2"/>
                <w:kern w:val="0"/>
                <w:sz w:val="18"/>
                <w:szCs w:val="18"/>
                <w:lang w:val="en-US" w:eastAsia="zh-CN" w:bidi="ar-SA"/>
              </w:rPr>
              <w:t>C 级</w:t>
            </w:r>
          </w:p>
        </w:tc>
        <w:tc>
          <w:tcPr>
            <w:tcW w:w="8660" w:type="dxa"/>
            <w:vAlign w:val="top"/>
          </w:tcPr>
          <w:p w14:paraId="13C16042">
            <w:pPr>
              <w:jc w:val="lef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1.1.1.5</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6</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2</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1</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1</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2</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 xml:space="preserve">6.2.1.1.4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 xml:space="preserve">6.2.1.1.5  </w:t>
            </w:r>
          </w:p>
        </w:tc>
      </w:tr>
      <w:tr w14:paraId="3537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center"/>
          </w:tcPr>
          <w:p w14:paraId="62D23F1C">
            <w:pPr>
              <w:pStyle w:val="530"/>
              <w:keepNext w:val="0"/>
              <w:keepLines w:val="0"/>
              <w:pageBreakBefore w:val="0"/>
              <w:kinsoku/>
              <w:wordWrap/>
              <w:overflowPunct/>
              <w:topLinePunct w:val="0"/>
              <w:autoSpaceDE/>
              <w:autoSpaceDN/>
              <w:bidi w:val="0"/>
              <w:adjustRightInd/>
              <w:snapToGrid/>
              <w:spacing w:line="222" w:lineRule="auto"/>
              <w:jc w:val="center"/>
              <w:textAlignment w:val="auto"/>
              <w:rPr>
                <w:rFonts w:hint="eastAsia" w:ascii="宋体" w:hAnsi="宋体" w:eastAsia="宋体" w:cs="宋体"/>
                <w:color w:val="auto"/>
                <w:sz w:val="18"/>
                <w:szCs w:val="18"/>
              </w:rPr>
            </w:pPr>
          </w:p>
        </w:tc>
        <w:tc>
          <w:tcPr>
            <w:tcW w:w="8660" w:type="dxa"/>
            <w:vAlign w:val="top"/>
          </w:tcPr>
          <w:p w14:paraId="257A22A1">
            <w:pPr>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6.2.2.1.2</w:t>
            </w:r>
            <w:r>
              <w:rPr>
                <w:rFonts w:hint="eastAsia" w:ascii="宋体" w:hAnsi="宋体" w:cs="宋体"/>
                <w:color w:val="auto"/>
                <w:sz w:val="18"/>
                <w:szCs w:val="18"/>
                <w:lang w:val="en-US" w:eastAsia="zh-CN"/>
              </w:rPr>
              <w:t xml:space="preserve">              6.2.3.1.1               6.3.2.1.3                 6.3.2.1.4</w:t>
            </w:r>
          </w:p>
        </w:tc>
      </w:tr>
      <w:tr w14:paraId="0B01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top"/>
          </w:tcPr>
          <w:p w14:paraId="233456F3">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p>
        </w:tc>
        <w:tc>
          <w:tcPr>
            <w:tcW w:w="8660" w:type="dxa"/>
            <w:vAlign w:val="top"/>
          </w:tcPr>
          <w:p w14:paraId="070DD57A">
            <w:pPr>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6.3.2.1.5</w:t>
            </w:r>
            <w:r>
              <w:rPr>
                <w:rFonts w:hint="eastAsia" w:ascii="宋体" w:hAnsi="宋体" w:cs="宋体"/>
                <w:color w:val="auto"/>
                <w:sz w:val="18"/>
                <w:szCs w:val="18"/>
                <w:lang w:val="en-US" w:eastAsia="zh-CN"/>
              </w:rPr>
              <w:t xml:space="preserve">              6.3.2.1.6               6.3.2.1.7                 6.3.2.1.11</w:t>
            </w:r>
          </w:p>
        </w:tc>
      </w:tr>
      <w:tr w14:paraId="1FF2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top"/>
          </w:tcPr>
          <w:p w14:paraId="0068C9C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p>
        </w:tc>
        <w:tc>
          <w:tcPr>
            <w:tcW w:w="8660" w:type="dxa"/>
            <w:vAlign w:val="top"/>
          </w:tcPr>
          <w:p w14:paraId="48497CD3">
            <w:pPr>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6.3.2.1.12</w:t>
            </w:r>
            <w:r>
              <w:rPr>
                <w:rFonts w:hint="eastAsia" w:ascii="宋体" w:hAnsi="宋体" w:cs="宋体"/>
                <w:color w:val="auto"/>
                <w:sz w:val="18"/>
                <w:szCs w:val="18"/>
                <w:lang w:val="en-US" w:eastAsia="zh-CN"/>
              </w:rPr>
              <w:t xml:space="preserve">             6.4.1.1.1               6.4.1.1.2                 6.4.1.1.9</w:t>
            </w:r>
          </w:p>
        </w:tc>
      </w:tr>
      <w:tr w14:paraId="3112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top"/>
          </w:tcPr>
          <w:p w14:paraId="733CFB8B">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p>
        </w:tc>
        <w:tc>
          <w:tcPr>
            <w:tcW w:w="8660" w:type="dxa"/>
            <w:vAlign w:val="top"/>
          </w:tcPr>
          <w:p w14:paraId="650F01EB">
            <w:pPr>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6.4.2.1.2</w:t>
            </w:r>
            <w:r>
              <w:rPr>
                <w:rFonts w:hint="eastAsia" w:ascii="宋体" w:hAnsi="宋体" w:cs="宋体"/>
                <w:color w:val="auto"/>
                <w:sz w:val="18"/>
                <w:szCs w:val="18"/>
                <w:lang w:val="en-US" w:eastAsia="zh-CN"/>
              </w:rPr>
              <w:t xml:space="preserve">              6.4.2.1.3               6.4.2.1.4                 6.4.2.1.7</w:t>
            </w:r>
          </w:p>
        </w:tc>
      </w:tr>
      <w:tr w14:paraId="2AA7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top"/>
          </w:tcPr>
          <w:p w14:paraId="13447C76">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p>
        </w:tc>
        <w:tc>
          <w:tcPr>
            <w:tcW w:w="8660" w:type="dxa"/>
            <w:vAlign w:val="top"/>
          </w:tcPr>
          <w:p w14:paraId="563FE8AF">
            <w:pPr>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6.5.1.1.1</w:t>
            </w:r>
            <w:r>
              <w:rPr>
                <w:rFonts w:hint="eastAsia" w:ascii="宋体" w:hAnsi="宋体" w:cs="宋体"/>
                <w:color w:val="auto"/>
                <w:sz w:val="18"/>
                <w:szCs w:val="18"/>
                <w:lang w:val="en-US" w:eastAsia="zh-CN"/>
              </w:rPr>
              <w:t xml:space="preserve">              6.5.1.1.2               6.5.1.1.3                 6.5.1.1.4</w:t>
            </w:r>
          </w:p>
        </w:tc>
      </w:tr>
      <w:tr w14:paraId="7E5B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top"/>
          </w:tcPr>
          <w:p w14:paraId="4B61813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p>
        </w:tc>
        <w:tc>
          <w:tcPr>
            <w:tcW w:w="8660" w:type="dxa"/>
            <w:vAlign w:val="top"/>
          </w:tcPr>
          <w:p w14:paraId="1A340D62">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6.5.1.1.5</w:t>
            </w:r>
            <w:r>
              <w:rPr>
                <w:rFonts w:hint="eastAsia" w:ascii="宋体" w:hAnsi="宋体" w:cs="宋体"/>
                <w:color w:val="auto"/>
                <w:sz w:val="18"/>
                <w:szCs w:val="18"/>
                <w:lang w:val="en-US" w:eastAsia="zh-CN"/>
              </w:rPr>
              <w:t xml:space="preserve">              6.5.2.1.1               6.5.2.1.2                 6.5.2.1.3</w:t>
            </w:r>
          </w:p>
        </w:tc>
      </w:tr>
      <w:tr w14:paraId="2F2F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top"/>
          </w:tcPr>
          <w:p w14:paraId="24AACD69">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p>
        </w:tc>
        <w:tc>
          <w:tcPr>
            <w:tcW w:w="8660" w:type="dxa"/>
            <w:vAlign w:val="top"/>
          </w:tcPr>
          <w:p w14:paraId="1D842AEE">
            <w:pPr>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6.5.4.1.1</w:t>
            </w:r>
            <w:r>
              <w:rPr>
                <w:rFonts w:hint="eastAsia" w:ascii="宋体" w:hAnsi="宋体" w:cs="宋体"/>
                <w:color w:val="auto"/>
                <w:sz w:val="18"/>
                <w:szCs w:val="18"/>
                <w:lang w:val="en-US" w:eastAsia="zh-CN"/>
              </w:rPr>
              <w:t xml:space="preserve">              6.5.4.1.2               6.5.4.1.3                 6.5.4.1.4</w:t>
            </w:r>
          </w:p>
        </w:tc>
      </w:tr>
      <w:tr w14:paraId="2E1B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top"/>
          </w:tcPr>
          <w:p w14:paraId="607E9DAB">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p>
        </w:tc>
        <w:tc>
          <w:tcPr>
            <w:tcW w:w="8660" w:type="dxa"/>
            <w:vAlign w:val="top"/>
          </w:tcPr>
          <w:p w14:paraId="56752A45">
            <w:pPr>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6.6.2.1.1</w:t>
            </w:r>
            <w:r>
              <w:rPr>
                <w:rFonts w:hint="eastAsia" w:ascii="宋体" w:hAnsi="宋体" w:cs="宋体"/>
                <w:color w:val="auto"/>
                <w:sz w:val="18"/>
                <w:szCs w:val="18"/>
                <w:lang w:val="en-US" w:eastAsia="zh-CN"/>
              </w:rPr>
              <w:t xml:space="preserve">              6.6.2.1.3               6.6.2.1.4                 6.7.1.1.6</w:t>
            </w:r>
          </w:p>
        </w:tc>
      </w:tr>
      <w:tr w14:paraId="37FF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3" w:type="dxa"/>
            <w:vMerge w:val="continue"/>
            <w:vAlign w:val="top"/>
          </w:tcPr>
          <w:p w14:paraId="4DBEB32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p>
        </w:tc>
        <w:tc>
          <w:tcPr>
            <w:tcW w:w="8660" w:type="dxa"/>
            <w:vAlign w:val="top"/>
          </w:tcPr>
          <w:p w14:paraId="677E610E">
            <w:pPr>
              <w:jc w:val="left"/>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6.7.1.1.10</w:t>
            </w:r>
            <w:r>
              <w:rPr>
                <w:rFonts w:hint="eastAsia" w:ascii="宋体" w:hAnsi="宋体" w:cs="宋体"/>
                <w:color w:val="auto"/>
                <w:sz w:val="18"/>
                <w:szCs w:val="18"/>
                <w:lang w:val="en-US" w:eastAsia="zh-CN"/>
              </w:rPr>
              <w:t xml:space="preserve">             6.7.2.1.1</w:t>
            </w:r>
          </w:p>
        </w:tc>
      </w:tr>
    </w:tbl>
    <w:p w14:paraId="479209E7">
      <w:pPr>
        <w:rPr>
          <w:rFonts w:hint="eastAsia"/>
          <w:color w:val="auto"/>
          <w:lang w:val="en-US" w:eastAsia="zh-CN"/>
        </w:rPr>
      </w:pPr>
      <w:r>
        <w:rPr>
          <w:rFonts w:hint="eastAsia"/>
          <w:color w:val="auto"/>
          <w:lang w:val="en-US" w:eastAsia="zh-CN"/>
        </w:rPr>
        <w:br w:type="page"/>
      </w:r>
    </w:p>
    <w:p w14:paraId="7873031D">
      <w:pPr>
        <w:rPr>
          <w:rFonts w:hint="eastAsia"/>
          <w:color w:val="auto"/>
          <w:lang w:val="en-US" w:eastAsia="zh-CN"/>
        </w:rPr>
      </w:pPr>
    </w:p>
    <w:p w14:paraId="61ABE4D7">
      <w:pPr>
        <w:pStyle w:val="301"/>
        <w:numPr>
          <w:ilvl w:val="1"/>
          <w:numId w:val="0"/>
        </w:numPr>
        <w:bidi w:val="0"/>
        <w:ind w:leftChars="0"/>
        <w:jc w:val="center"/>
        <w:rPr>
          <w:rFonts w:hint="default" w:ascii="宋体" w:hAnsi="宋体" w:eastAsia="宋体" w:cs="宋体"/>
          <w:color w:val="auto"/>
          <w:spacing w:val="8"/>
          <w:szCs w:val="21"/>
          <w:highlight w:val="none"/>
          <w:lang w:val="en-US" w:eastAsia="zh-CN"/>
        </w:rPr>
      </w:pPr>
      <w:bookmarkStart w:id="631" w:name="_Toc13847"/>
      <w:bookmarkStart w:id="632" w:name="_Toc22637"/>
      <w:bookmarkStart w:id="633" w:name="_Toc29156"/>
      <w:bookmarkStart w:id="634" w:name="_Toc16696"/>
      <w:bookmarkStart w:id="635" w:name="_Toc7193"/>
      <w:bookmarkStart w:id="636" w:name="_Toc30413"/>
      <w:bookmarkStart w:id="637" w:name="_Toc734"/>
      <w:bookmarkStart w:id="638" w:name="_Toc7498"/>
      <w:bookmarkStart w:id="639" w:name="_Toc4098"/>
      <w:bookmarkStart w:id="640" w:name="_Toc4550"/>
      <w:r>
        <w:rPr>
          <w:rFonts w:hint="eastAsia"/>
          <w:color w:val="auto"/>
          <w:lang w:val="en-US" w:eastAsia="zh-CN"/>
        </w:rPr>
        <w:t>表C.2  仪器检测条款电气火灾危险性分级标准</w:t>
      </w:r>
      <w:bookmarkEnd w:id="631"/>
      <w:bookmarkEnd w:id="632"/>
      <w:bookmarkEnd w:id="633"/>
      <w:bookmarkEnd w:id="634"/>
      <w:bookmarkEnd w:id="635"/>
      <w:bookmarkEnd w:id="636"/>
      <w:bookmarkEnd w:id="637"/>
      <w:bookmarkEnd w:id="638"/>
      <w:bookmarkEnd w:id="639"/>
      <w:bookmarkEnd w:id="640"/>
    </w:p>
    <w:tbl>
      <w:tblPr>
        <w:tblStyle w:val="88"/>
        <w:tblW w:w="9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4"/>
        <w:gridCol w:w="1834"/>
        <w:gridCol w:w="1834"/>
        <w:gridCol w:w="1861"/>
        <w:gridCol w:w="2360"/>
      </w:tblGrid>
      <w:tr w14:paraId="74104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660ED">
            <w:pPr>
              <w:keepNext w:val="0"/>
              <w:keepLines w:val="0"/>
              <w:pageBreakBefore w:val="0"/>
              <w:tabs>
                <w:tab w:val="left" w:pos="3998"/>
              </w:tabs>
              <w:kinsoku/>
              <w:wordWrap/>
              <w:overflowPunct/>
              <w:topLinePunct w:val="0"/>
              <w:autoSpaceDE/>
              <w:autoSpaceDN/>
              <w:bidi w:val="0"/>
              <w:adjustRightInd/>
              <w:snapToGrid/>
              <w:jc w:val="left"/>
              <w:rPr>
                <w:rFonts w:hint="eastAsia" w:ascii="宋体" w:hAnsi="宋体" w:eastAsia="宋体" w:cs="宋体"/>
                <w:i w:val="0"/>
                <w:iCs w:val="0"/>
                <w:color w:val="auto"/>
                <w:sz w:val="18"/>
                <w:szCs w:val="18"/>
                <w:highlight w:val="none"/>
                <w:u w:val="none"/>
              </w:rPr>
            </w:pPr>
            <w:r>
              <w:rPr>
                <w:rFonts w:hint="eastAsia" w:cs="Times New Roman"/>
                <w:color w:val="auto"/>
                <w:kern w:val="2"/>
                <w:sz w:val="18"/>
                <w:szCs w:val="18"/>
                <w:lang w:val="en-US" w:eastAsia="zh-CN" w:bidi="ar-SA"/>
              </w:rPr>
              <w:tab/>
            </w:r>
            <w:r>
              <w:rPr>
                <w:rFonts w:hint="eastAsia" w:ascii="宋体" w:hAnsi="宋体" w:eastAsia="宋体" w:cs="宋体"/>
                <w:i w:val="0"/>
                <w:iCs w:val="0"/>
                <w:snapToGrid w:val="0"/>
                <w:color w:val="auto"/>
                <w:kern w:val="0"/>
                <w:sz w:val="18"/>
                <w:szCs w:val="18"/>
                <w:highlight w:val="none"/>
                <w:u w:val="none"/>
                <w:lang w:val="en-US" w:eastAsia="zh-CN" w:bidi="ar"/>
              </w:rPr>
              <w:t>测试参数</w:t>
            </w:r>
          </w:p>
        </w:tc>
        <w:tc>
          <w:tcPr>
            <w:tcW w:w="5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AAA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危险等级</w:t>
            </w:r>
          </w:p>
        </w:tc>
        <w:tc>
          <w:tcPr>
            <w:tcW w:w="2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18B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基准值</w:t>
            </w:r>
          </w:p>
        </w:tc>
      </w:tr>
      <w:tr w14:paraId="48AA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DCCC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18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A级</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2A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B级</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F8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C级</w:t>
            </w:r>
          </w:p>
        </w:tc>
        <w:tc>
          <w:tcPr>
            <w:tcW w:w="2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1144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14:paraId="3481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8E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温   度</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15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β≥1.3</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AE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1.1≤β&lt;1.3</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BD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1.0≤β&lt;1.1</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0F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最高允许温度</w:t>
            </w:r>
          </w:p>
        </w:tc>
      </w:tr>
      <w:tr w14:paraId="70E9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DC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电   流</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03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β≥1.3</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3D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1.2≤β&lt;1.3</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5B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1.1≤β&lt;1.2</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57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额定电流</w:t>
            </w:r>
          </w:p>
        </w:tc>
      </w:tr>
      <w:tr w14:paraId="6FDA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32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接地电阻</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0C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β≥3.0</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D0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2.0≤β&lt;3.0</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8C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1.0≤β&lt;2.0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A9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标准规定值</w:t>
            </w:r>
          </w:p>
        </w:tc>
      </w:tr>
      <w:tr w14:paraId="56C06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0D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绝缘电阻</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49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β≤0.5</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B3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0.5&lt;β≤0.75</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58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0.75&lt;β≤1.0</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6E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绝缘等级和标准规定值</w:t>
            </w:r>
          </w:p>
        </w:tc>
      </w:tr>
      <w:tr w14:paraId="7201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B8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电   压</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62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β≥1.3</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EF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1.2≤β&lt;1.3</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A2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1.1≤β&lt;1.2</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1D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额定电压</w:t>
            </w:r>
          </w:p>
        </w:tc>
      </w:tr>
      <w:tr w14:paraId="016CC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50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防火距离</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45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β≤0.5</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26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0.5&lt;β≤0.75</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2F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0.75&lt;β≤1.0</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D7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标准规定值</w:t>
            </w:r>
          </w:p>
        </w:tc>
      </w:tr>
      <w:tr w14:paraId="523E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66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剩余电流</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11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β≥1.3</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7D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1.1≤β&lt;1.3</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09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1.0≤β&lt;1.1</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9A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标准规定值</w:t>
            </w:r>
          </w:p>
        </w:tc>
      </w:tr>
      <w:tr w14:paraId="7079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EA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火花放电</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45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严重</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A9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中</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69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轻微</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D6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snapToGrid w:val="0"/>
                <w:color w:val="auto"/>
                <w:kern w:val="0"/>
                <w:sz w:val="18"/>
                <w:szCs w:val="18"/>
                <w:highlight w:val="none"/>
                <w:u w:val="none"/>
                <w:lang w:val="en-US" w:eastAsia="zh-CN" w:bidi="ar"/>
              </w:rPr>
              <w:t>相关标准规定</w:t>
            </w:r>
          </w:p>
        </w:tc>
      </w:tr>
      <w:tr w14:paraId="7B3E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9B84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360" w:firstLineChars="200"/>
              <w:jc w:val="left"/>
              <w:textAlignment w:val="center"/>
              <w:rPr>
                <w:rFonts w:hint="eastAsia" w:ascii="宋体" w:hAnsi="宋体" w:eastAsia="宋体" w:cs="宋体"/>
                <w:i w:val="0"/>
                <w:iCs w:val="0"/>
                <w:snapToGrid w:val="0"/>
                <w:color w:val="auto"/>
                <w:kern w:val="0"/>
                <w:sz w:val="18"/>
                <w:szCs w:val="18"/>
                <w:highlight w:val="none"/>
                <w:u w:val="none"/>
                <w:lang w:val="en-US" w:eastAsia="zh-CN" w:bidi="ar"/>
              </w:rPr>
            </w:pPr>
            <w:r>
              <w:rPr>
                <w:rFonts w:hint="eastAsia" w:ascii="黑体" w:hAnsi="黑体" w:eastAsia="黑体" w:cs="黑体"/>
                <w:b w:val="0"/>
                <w:bCs w:val="0"/>
                <w:i w:val="0"/>
                <w:iCs w:val="0"/>
                <w:snapToGrid w:val="0"/>
                <w:color w:val="auto"/>
                <w:kern w:val="0"/>
                <w:sz w:val="18"/>
                <w:szCs w:val="18"/>
                <w:highlight w:val="none"/>
                <w:u w:val="none"/>
                <w:lang w:val="en-US" w:eastAsia="zh-CN" w:bidi="ar"/>
              </w:rPr>
              <w:t>注1：</w:t>
            </w:r>
            <w:r>
              <w:rPr>
                <w:rFonts w:hint="eastAsia" w:ascii="宋体" w:hAnsi="宋体" w:eastAsia="宋体" w:cs="宋体"/>
                <w:i w:val="0"/>
                <w:iCs w:val="0"/>
                <w:snapToGrid w:val="0"/>
                <w:color w:val="auto"/>
                <w:kern w:val="0"/>
                <w:sz w:val="18"/>
                <w:szCs w:val="18"/>
                <w:highlight w:val="none"/>
                <w:u w:val="none"/>
                <w:lang w:val="en-US" w:eastAsia="zh-CN" w:bidi="ar"/>
              </w:rPr>
              <w:t>β为实际测量值与基准值的比值。</w:t>
            </w:r>
          </w:p>
          <w:p w14:paraId="409001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360" w:firstLineChars="200"/>
              <w:jc w:val="left"/>
              <w:textAlignment w:val="center"/>
              <w:rPr>
                <w:rFonts w:hint="eastAsia" w:ascii="宋体" w:hAnsi="宋体" w:eastAsia="宋体" w:cs="宋体"/>
                <w:i w:val="0"/>
                <w:iCs w:val="0"/>
                <w:color w:val="auto"/>
                <w:sz w:val="21"/>
                <w:szCs w:val="21"/>
                <w:highlight w:val="none"/>
                <w:u w:val="none"/>
              </w:rPr>
            </w:pPr>
            <w:r>
              <w:rPr>
                <w:rFonts w:hint="eastAsia" w:ascii="黑体" w:hAnsi="黑体" w:eastAsia="黑体" w:cs="黑体"/>
                <w:b w:val="0"/>
                <w:bCs w:val="0"/>
                <w:i w:val="0"/>
                <w:iCs w:val="0"/>
                <w:snapToGrid w:val="0"/>
                <w:color w:val="auto"/>
                <w:kern w:val="0"/>
                <w:sz w:val="18"/>
                <w:szCs w:val="18"/>
                <w:highlight w:val="none"/>
                <w:u w:val="none"/>
                <w:lang w:val="en-US" w:eastAsia="zh-CN" w:bidi="ar"/>
              </w:rPr>
              <w:t>注2：</w:t>
            </w:r>
            <w:r>
              <w:rPr>
                <w:rFonts w:hint="eastAsia" w:ascii="宋体" w:hAnsi="宋体" w:eastAsia="宋体" w:cs="宋体"/>
                <w:i w:val="0"/>
                <w:iCs w:val="0"/>
                <w:snapToGrid w:val="0"/>
                <w:color w:val="auto"/>
                <w:kern w:val="0"/>
                <w:sz w:val="18"/>
                <w:szCs w:val="18"/>
                <w:highlight w:val="none"/>
                <w:u w:val="none"/>
                <w:lang w:val="en-US" w:eastAsia="zh-CN" w:bidi="ar"/>
              </w:rPr>
              <w:t>直观发现火花放电为"严重"</w:t>
            </w:r>
            <w:r>
              <w:rPr>
                <w:rFonts w:hint="eastAsia" w:ascii="宋体" w:hAnsi="宋体" w:cs="宋体"/>
                <w:i w:val="0"/>
                <w:iCs w:val="0"/>
                <w:snapToGrid w:val="0"/>
                <w:color w:val="auto"/>
                <w:kern w:val="0"/>
                <w:sz w:val="18"/>
                <w:szCs w:val="18"/>
                <w:highlight w:val="none"/>
                <w:u w:val="none"/>
                <w:lang w:val="en-US" w:eastAsia="zh-CN" w:bidi="ar"/>
              </w:rPr>
              <w:t>；</w:t>
            </w:r>
            <w:r>
              <w:rPr>
                <w:rFonts w:hint="eastAsia" w:ascii="宋体" w:hAnsi="宋体" w:eastAsia="宋体" w:cs="宋体"/>
                <w:i w:val="0"/>
                <w:iCs w:val="0"/>
                <w:snapToGrid w:val="0"/>
                <w:color w:val="auto"/>
                <w:kern w:val="0"/>
                <w:sz w:val="18"/>
                <w:szCs w:val="18"/>
                <w:highlight w:val="none"/>
                <w:u w:val="none"/>
                <w:lang w:val="en-US" w:eastAsia="zh-CN" w:bidi="ar"/>
              </w:rPr>
              <w:t>直观发现放电痕迹为“中"</w:t>
            </w:r>
            <w:r>
              <w:rPr>
                <w:rFonts w:hint="eastAsia" w:ascii="宋体" w:hAnsi="宋体" w:cs="宋体"/>
                <w:i w:val="0"/>
                <w:iCs w:val="0"/>
                <w:snapToGrid w:val="0"/>
                <w:color w:val="auto"/>
                <w:kern w:val="0"/>
                <w:sz w:val="18"/>
                <w:szCs w:val="18"/>
                <w:highlight w:val="none"/>
                <w:u w:val="none"/>
                <w:lang w:val="en-US" w:eastAsia="zh-CN" w:bidi="ar"/>
              </w:rPr>
              <w:t>；</w:t>
            </w:r>
            <w:r>
              <w:rPr>
                <w:rFonts w:hint="eastAsia" w:ascii="宋体" w:hAnsi="宋体" w:eastAsia="宋体" w:cs="宋体"/>
                <w:i w:val="0"/>
                <w:iCs w:val="0"/>
                <w:snapToGrid w:val="0"/>
                <w:color w:val="auto"/>
                <w:kern w:val="0"/>
                <w:sz w:val="18"/>
                <w:szCs w:val="18"/>
                <w:highlight w:val="none"/>
                <w:u w:val="none"/>
                <w:lang w:val="en-US" w:eastAsia="zh-CN" w:bidi="ar"/>
              </w:rPr>
              <w:t>直观没有发现，仪器测出有火花放电声为“轻微”。</w:t>
            </w:r>
          </w:p>
        </w:tc>
      </w:tr>
    </w:tbl>
    <w:p w14:paraId="56439B2F">
      <w:pPr>
        <w:pStyle w:val="258"/>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黑体" w:hAnsi="宋体" w:eastAsia="黑体" w:cs="黑体"/>
          <w:color w:val="auto"/>
          <w:kern w:val="0"/>
          <w:sz w:val="21"/>
          <w:szCs w:val="21"/>
          <w:lang w:val="en-US" w:eastAsia="zh-CN" w:bidi="ar"/>
        </w:rPr>
        <w:sectPr>
          <w:pgSz w:w="11907" w:h="16839"/>
          <w:pgMar w:top="1418" w:right="1134" w:bottom="1134" w:left="1418" w:header="1418" w:footer="1134" w:gutter="0"/>
          <w:lnNumType w:countBy="0" w:restart="continuous"/>
          <w:pgNumType w:fmt="decimal"/>
          <w:cols w:space="425" w:num="1"/>
          <w:rtlGutter w:val="0"/>
          <w:docGrid w:type="lines" w:linePitch="312" w:charSpace="0"/>
        </w:sectPr>
      </w:pPr>
    </w:p>
    <w:p w14:paraId="5C3E2CBB">
      <w:pPr>
        <w:pStyle w:val="347"/>
        <w:bidi w:val="0"/>
        <w:ind w:left="0" w:leftChars="0" w:firstLine="0" w:firstLineChars="0"/>
        <w:rPr>
          <w:rFonts w:hint="eastAsia"/>
          <w:color w:val="auto"/>
          <w:lang w:val="en-US" w:eastAsia="zh-CN"/>
        </w:rPr>
      </w:pPr>
      <w:bookmarkStart w:id="641" w:name="_Toc22131"/>
      <w:bookmarkStart w:id="642" w:name="_Toc16905"/>
      <w:bookmarkStart w:id="643" w:name="_Toc21127"/>
      <w:bookmarkStart w:id="644" w:name="_Toc29272"/>
      <w:bookmarkStart w:id="645" w:name="_Toc11230"/>
      <w:bookmarkStart w:id="646" w:name="附录头部信息书签_4"/>
      <w:bookmarkStart w:id="647" w:name="_Toc24561"/>
      <w:bookmarkStart w:id="648" w:name="_Toc7910"/>
      <w:bookmarkStart w:id="649" w:name="_Toc12155"/>
    </w:p>
    <w:p w14:paraId="2E37819D">
      <w:pPr>
        <w:pStyle w:val="348"/>
        <w:bidi w:val="0"/>
        <w:ind w:left="0" w:leftChars="0" w:firstLine="0" w:firstLineChars="0"/>
        <w:rPr>
          <w:rFonts w:hint="eastAsia"/>
          <w:color w:val="auto"/>
          <w:lang w:val="en-US" w:eastAsia="zh-CN"/>
        </w:rPr>
      </w:pPr>
    </w:p>
    <w:bookmarkEnd w:id="641"/>
    <w:bookmarkEnd w:id="642"/>
    <w:bookmarkEnd w:id="643"/>
    <w:bookmarkEnd w:id="644"/>
    <w:bookmarkEnd w:id="645"/>
    <w:bookmarkEnd w:id="646"/>
    <w:bookmarkEnd w:id="647"/>
    <w:bookmarkEnd w:id="648"/>
    <w:bookmarkEnd w:id="649"/>
    <w:p w14:paraId="690F5928">
      <w:pPr>
        <w:pStyle w:val="274"/>
        <w:bidi w:val="0"/>
        <w:jc w:val="center"/>
        <w:rPr>
          <w:rFonts w:hint="eastAsia"/>
          <w:color w:val="auto"/>
          <w:lang w:val="en-US" w:eastAsia="zh-CN"/>
        </w:rPr>
      </w:pPr>
      <w:bookmarkStart w:id="650" w:name="_Toc22526"/>
      <w:bookmarkStart w:id="651" w:name="_Toc20851"/>
      <w:bookmarkStart w:id="652" w:name="_Toc15987"/>
      <w:bookmarkStart w:id="653" w:name="_Toc26824"/>
      <w:bookmarkStart w:id="654" w:name="_Toc28089"/>
      <w:bookmarkStart w:id="655" w:name="_Toc32380"/>
      <w:bookmarkStart w:id="656" w:name="_Toc14997"/>
      <w:bookmarkStart w:id="657" w:name="_Toc11296"/>
      <w:bookmarkStart w:id="658" w:name="_Toc10107"/>
      <w:bookmarkStart w:id="659" w:name="_Toc11272"/>
      <w:bookmarkStart w:id="660" w:name="附录头部信息书签_5"/>
      <w:bookmarkStart w:id="661" w:name="_Toc19521"/>
      <w:bookmarkStart w:id="662" w:name="_Toc19888"/>
      <w:r>
        <w:rPr>
          <w:rFonts w:hint="eastAsia"/>
          <w:color w:val="auto"/>
          <w:lang w:val="en-US" w:eastAsia="zh-CN"/>
        </w:rPr>
        <w:br w:type="textWrapping"/>
      </w:r>
      <w:r>
        <w:rPr>
          <w:rFonts w:hint="eastAsia"/>
          <w:color w:val="auto"/>
          <w:lang w:val="en-US" w:eastAsia="zh-CN"/>
        </w:rPr>
        <w:t>（规范性）</w:t>
      </w:r>
      <w:r>
        <w:rPr>
          <w:rFonts w:hint="eastAsia"/>
          <w:color w:val="auto"/>
          <w:lang w:val="en-US" w:eastAsia="zh-CN"/>
        </w:rPr>
        <w:br w:type="textWrapping"/>
      </w:r>
      <w:r>
        <w:rPr>
          <w:rFonts w:hint="eastAsia"/>
          <w:color w:val="auto"/>
          <w:lang w:val="en-US" w:eastAsia="zh-CN"/>
        </w:rPr>
        <w:t>特殊场所检测要求</w:t>
      </w:r>
      <w:bookmarkEnd w:id="650"/>
      <w:bookmarkEnd w:id="651"/>
      <w:bookmarkEnd w:id="652"/>
      <w:bookmarkEnd w:id="653"/>
      <w:bookmarkEnd w:id="654"/>
      <w:bookmarkEnd w:id="655"/>
      <w:bookmarkEnd w:id="656"/>
      <w:bookmarkEnd w:id="657"/>
      <w:bookmarkEnd w:id="658"/>
      <w:bookmarkEnd w:id="659"/>
      <w:bookmarkEnd w:id="660"/>
      <w:bookmarkEnd w:id="661"/>
      <w:bookmarkEnd w:id="662"/>
    </w:p>
    <w:p w14:paraId="6A723AB4">
      <w:pPr>
        <w:pStyle w:val="275"/>
        <w:bidi w:val="0"/>
        <w:rPr>
          <w:rFonts w:hint="default"/>
          <w:color w:val="auto"/>
          <w:lang w:val="en-US" w:eastAsia="zh-CN"/>
        </w:rPr>
      </w:pPr>
      <w:bookmarkStart w:id="663" w:name="_Toc24638"/>
      <w:bookmarkStart w:id="664" w:name="_Toc5087"/>
      <w:bookmarkStart w:id="665" w:name="_Toc26479"/>
      <w:bookmarkStart w:id="666" w:name="_Toc28857"/>
      <w:bookmarkStart w:id="667" w:name="_Toc30294"/>
      <w:bookmarkStart w:id="668" w:name="_Toc21343"/>
      <w:bookmarkStart w:id="669" w:name="_Toc5209"/>
      <w:bookmarkStart w:id="670" w:name="_Toc7175"/>
      <w:bookmarkStart w:id="671" w:name="_Toc31024"/>
      <w:bookmarkStart w:id="672" w:name="_Toc3281"/>
      <w:r>
        <w:rPr>
          <w:rFonts w:hint="eastAsia"/>
          <w:color w:val="auto"/>
          <w:lang w:val="en-US" w:eastAsia="zh-CN"/>
        </w:rPr>
        <w:t>特殊场所检测要求表</w:t>
      </w:r>
      <w:bookmarkEnd w:id="663"/>
      <w:bookmarkEnd w:id="664"/>
      <w:bookmarkEnd w:id="665"/>
      <w:bookmarkEnd w:id="666"/>
      <w:bookmarkEnd w:id="667"/>
      <w:bookmarkEnd w:id="668"/>
      <w:bookmarkEnd w:id="669"/>
      <w:bookmarkEnd w:id="670"/>
      <w:bookmarkEnd w:id="671"/>
      <w:bookmarkEnd w:id="672"/>
    </w:p>
    <w:tbl>
      <w:tblPr>
        <w:tblStyle w:val="89"/>
        <w:tblpPr w:leftFromText="180" w:rightFromText="180" w:vertAnchor="text" w:horzAnchor="page" w:tblpXSpec="center" w:tblpY="280"/>
        <w:tblOverlap w:val="never"/>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41"/>
        <w:gridCol w:w="8194"/>
      </w:tblGrid>
      <w:tr w14:paraId="01D8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77" w:type="dxa"/>
            <w:gridSpan w:val="2"/>
            <w:vAlign w:val="center"/>
          </w:tcPr>
          <w:p w14:paraId="03912FE4">
            <w:pPr>
              <w:keepNext w:val="0"/>
              <w:keepLines w:val="0"/>
              <w:pageBreakBefore w:val="0"/>
              <w:widowControl w:val="0"/>
              <w:tabs>
                <w:tab w:val="right" w:leader="dot" w:pos="9337"/>
              </w:tabs>
              <w:kinsoku/>
              <w:wordWrap/>
              <w:overflowPunct/>
              <w:topLinePunct w:val="0"/>
              <w:autoSpaceDE/>
              <w:autoSpaceDN/>
              <w:bidi w:val="0"/>
              <w:adjustRightInd/>
              <w:snapToGrid/>
              <w:spacing w:line="240" w:lineRule="auto"/>
              <w:jc w:val="center"/>
              <w:textAlignment w:val="auto"/>
              <w:rPr>
                <w:rFonts w:hint="default"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检测内容</w:t>
            </w:r>
          </w:p>
        </w:tc>
        <w:tc>
          <w:tcPr>
            <w:tcW w:w="8194" w:type="dxa"/>
            <w:vAlign w:val="center"/>
          </w:tcPr>
          <w:p w14:paraId="0295E7EF">
            <w:pPr>
              <w:keepNext w:val="0"/>
              <w:keepLines w:val="0"/>
              <w:pageBreakBefore w:val="0"/>
              <w:widowControl w:val="0"/>
              <w:tabs>
                <w:tab w:val="right" w:leader="dot" w:pos="9337"/>
              </w:tabs>
              <w:kinsoku/>
              <w:wordWrap/>
              <w:overflowPunct/>
              <w:topLinePunct w:val="0"/>
              <w:autoSpaceDE/>
              <w:autoSpaceDN/>
              <w:bidi w:val="0"/>
              <w:adjustRightInd/>
              <w:snapToGrid/>
              <w:spacing w:line="240" w:lineRule="auto"/>
              <w:jc w:val="center"/>
              <w:textAlignment w:val="auto"/>
              <w:rPr>
                <w:rFonts w:hint="default"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检测要求</w:t>
            </w:r>
          </w:p>
        </w:tc>
      </w:tr>
      <w:tr w14:paraId="4386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vAlign w:val="center"/>
          </w:tcPr>
          <w:p w14:paraId="1CDD3780">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color w:val="auto"/>
                <w:sz w:val="18"/>
                <w:szCs w:val="18"/>
              </w:rPr>
            </w:pPr>
            <w:r>
              <w:rPr>
                <w:rFonts w:hint="eastAsia" w:ascii="宋体" w:hAnsi="宋体" w:eastAsia="宋体" w:cs="宋体"/>
                <w:snapToGrid w:val="0"/>
                <w:color w:val="auto"/>
                <w:kern w:val="0"/>
                <w:sz w:val="18"/>
                <w:szCs w:val="18"/>
                <w:lang w:val="en-US" w:eastAsia="zh-CN" w:bidi="ar"/>
              </w:rPr>
              <w:t>公共</w:t>
            </w:r>
          </w:p>
          <w:p w14:paraId="204FE89D">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color w:val="auto"/>
                <w:sz w:val="18"/>
                <w:szCs w:val="18"/>
              </w:rPr>
            </w:pPr>
            <w:r>
              <w:rPr>
                <w:rFonts w:hint="eastAsia" w:ascii="宋体" w:hAnsi="宋体" w:eastAsia="宋体" w:cs="宋体"/>
                <w:snapToGrid w:val="0"/>
                <w:color w:val="auto"/>
                <w:kern w:val="0"/>
                <w:sz w:val="18"/>
                <w:szCs w:val="18"/>
                <w:lang w:val="en-US" w:eastAsia="zh-CN" w:bidi="ar"/>
              </w:rPr>
              <w:t>娱乐</w:t>
            </w:r>
          </w:p>
          <w:p w14:paraId="77ED43E4">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场所</w:t>
            </w:r>
          </w:p>
        </w:tc>
        <w:tc>
          <w:tcPr>
            <w:tcW w:w="741" w:type="dxa"/>
            <w:vMerge w:val="restart"/>
            <w:vAlign w:val="center"/>
          </w:tcPr>
          <w:p w14:paraId="6C2F41C3">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配电</w:t>
            </w:r>
          </w:p>
          <w:p w14:paraId="474BB614">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箱</w:t>
            </w:r>
          </w:p>
        </w:tc>
        <w:tc>
          <w:tcPr>
            <w:tcW w:w="8194" w:type="dxa"/>
            <w:vAlign w:val="center"/>
          </w:tcPr>
          <w:p w14:paraId="155E3D80">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在使用低于B1级装修材料的房间内，配电箱和开关箱应采用不燃材料制作；其壳体和底板应采用A级材料。 </w:t>
            </w:r>
          </w:p>
        </w:tc>
      </w:tr>
      <w:tr w14:paraId="7FAD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1523016E">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62240432">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5A2667FA">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配电箱（盘）和开关箱周边0.3m内，不应有可燃物；箱门操作方便，应与周围环境有明显区别且不应被遮挡；箱体内和下方，不应搁置和堆放可燃物。</w:t>
            </w:r>
          </w:p>
        </w:tc>
      </w:tr>
      <w:tr w14:paraId="4286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5DFC3ADD">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1F5D67F8">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62F37A3F">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照明配电箱（盘）内，应分别设置中性导体（N）和保护接地导体（PE）汇流排，中性导体（N）和保护接地导体（PE）应分别经各自的汇流排配出，不应铰接或交错混配。</w:t>
            </w:r>
          </w:p>
        </w:tc>
      </w:tr>
      <w:tr w14:paraId="102E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47C71E6A">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restart"/>
            <w:vAlign w:val="center"/>
          </w:tcPr>
          <w:p w14:paraId="46AD7DE5">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线路</w:t>
            </w:r>
          </w:p>
          <w:p w14:paraId="6434D5F4">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敷设</w:t>
            </w:r>
          </w:p>
        </w:tc>
        <w:tc>
          <w:tcPr>
            <w:tcW w:w="8194" w:type="dxa"/>
            <w:vAlign w:val="center"/>
          </w:tcPr>
          <w:p w14:paraId="6FE0EE61">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线路敷设应采用铜芯绝缘导线，其最小截面不应小于1.5㎟。 </w:t>
            </w:r>
          </w:p>
        </w:tc>
      </w:tr>
      <w:tr w14:paraId="7488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6AF4ADC9">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4C5CAFC3">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30B84D13">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室内的配电线路宜采用金属管暗敷在墙内；当明敷时，所有配电线路应穿金属管（槽）保护，导线不应外露；横穿通道地面的导线应采取固定的机械保护措施。 </w:t>
            </w:r>
          </w:p>
        </w:tc>
      </w:tr>
      <w:tr w14:paraId="0C0E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6652A717">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116519B1">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4A74F850">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不应擅自拉接临时电气线路。</w:t>
            </w:r>
          </w:p>
        </w:tc>
      </w:tr>
      <w:tr w14:paraId="4AA3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10B7D94F">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540C1CC1">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368B82AC">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移动式灯具的电源线，应采用橡胶绝缘软线，其长度不宜大于2m。 </w:t>
            </w:r>
          </w:p>
        </w:tc>
      </w:tr>
      <w:tr w14:paraId="69A2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2E1F688E">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10535526">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795FCE5F">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灯具、开关、插座、吊扇、壁扇等电器安装处应设置接线盒，导线的接头应在盒内压接。 </w:t>
            </w:r>
          </w:p>
        </w:tc>
      </w:tr>
      <w:tr w14:paraId="0FBE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0263281E">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0593083A">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513C1CEA">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建筑物吊顶部位的灯槽布线应等同于闷顶内布线。当有可燃物时应穿金属管保护。若受条件限制局部不能穿金属管时，可穿金属软管，其长度不应大于2m，导线不应裸露。无可燃物时可穿B1级刚性塑料管保护。</w:t>
            </w:r>
          </w:p>
        </w:tc>
      </w:tr>
      <w:tr w14:paraId="0DC4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0652B06A">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restart"/>
            <w:vAlign w:val="center"/>
          </w:tcPr>
          <w:p w14:paraId="0091B12D">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插座</w:t>
            </w:r>
          </w:p>
        </w:tc>
        <w:tc>
          <w:tcPr>
            <w:tcW w:w="8194" w:type="dxa"/>
            <w:vAlign w:val="center"/>
          </w:tcPr>
          <w:p w14:paraId="119EDA3E">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地面安装插座应采用专用产品，保护盖板固定牢靠，密封严实。</w:t>
            </w:r>
          </w:p>
        </w:tc>
      </w:tr>
      <w:tr w14:paraId="3542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56DA03E6">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0D1880BC">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5EF50E65">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插座、开关靠近可燃物或安装在可燃结构上时，应采取隔热、散热等保护措施。暗装插座、 开关应采用专用接线盒，面板紧贴墙面，四周无缝隙。 </w:t>
            </w:r>
          </w:p>
        </w:tc>
      </w:tr>
      <w:tr w14:paraId="0DC7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3450B408">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6DEA7F8A">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5DA5E6F6">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安装在B1级以下（含B1级）装修材料内的插座、开关，应采用防火封堵密封件或具有良好隔热性能的A级材料隔绝。</w:t>
            </w:r>
          </w:p>
        </w:tc>
      </w:tr>
      <w:tr w14:paraId="0F34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1922093F">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5B4310CB">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211A9983">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额定电压低的插头不应插入额定电压高的插座，额定电流高的插头不应插入额定电流低的插座，插头不应与带电极数不同的插座相互插合（如单相与三相插头插座）。</w:t>
            </w:r>
          </w:p>
        </w:tc>
      </w:tr>
      <w:tr w14:paraId="628C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745E1B0F">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52E98555">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75583DB6">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color w:val="auto"/>
                <w:sz w:val="18"/>
                <w:szCs w:val="18"/>
              </w:rPr>
            </w:pPr>
            <w:r>
              <w:rPr>
                <w:rFonts w:hint="eastAsia" w:ascii="宋体" w:hAnsi="宋体" w:eastAsia="宋体" w:cs="宋体"/>
                <w:snapToGrid w:val="0"/>
                <w:color w:val="auto"/>
                <w:kern w:val="0"/>
                <w:sz w:val="18"/>
                <w:szCs w:val="18"/>
                <w:lang w:val="en-US" w:eastAsia="zh-CN" w:bidi="ar"/>
              </w:rPr>
              <w:t xml:space="preserve">移动式插座应符合下列规定： </w:t>
            </w:r>
          </w:p>
          <w:p w14:paraId="5165124F">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color w:val="auto"/>
                <w:sz w:val="18"/>
                <w:szCs w:val="18"/>
              </w:rPr>
            </w:pPr>
            <w:r>
              <w:rPr>
                <w:rFonts w:hint="eastAsia" w:ascii="宋体" w:hAnsi="宋体" w:eastAsia="宋体" w:cs="宋体"/>
                <w:snapToGrid w:val="0"/>
                <w:color w:val="auto"/>
                <w:kern w:val="0"/>
                <w:sz w:val="18"/>
                <w:szCs w:val="18"/>
                <w:lang w:val="en-US" w:eastAsia="zh-CN" w:bidi="ar"/>
              </w:rPr>
              <w:t xml:space="preserve">a) 多功能移动插座电源线应采用铜芯电缆或护套软线，其软缆或软线的截面积，应与插座额定值相匹配，绝缘无磨损，导线无外露现象，其长度不宜超过2m； </w:t>
            </w:r>
          </w:p>
          <w:p w14:paraId="1E4C0709">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color w:val="auto"/>
                <w:sz w:val="18"/>
                <w:szCs w:val="18"/>
              </w:rPr>
            </w:pPr>
            <w:r>
              <w:rPr>
                <w:rFonts w:hint="eastAsia" w:ascii="宋体" w:hAnsi="宋体" w:eastAsia="宋体" w:cs="宋体"/>
                <w:snapToGrid w:val="0"/>
                <w:color w:val="auto"/>
                <w:kern w:val="0"/>
                <w:sz w:val="18"/>
                <w:szCs w:val="18"/>
                <w:lang w:val="en-US" w:eastAsia="zh-CN" w:bidi="ar"/>
              </w:rPr>
              <w:t xml:space="preserve">b) 应具有保护接地导体（PE）； </w:t>
            </w:r>
          </w:p>
          <w:p w14:paraId="596FB69A">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color w:val="auto"/>
                <w:sz w:val="18"/>
                <w:szCs w:val="18"/>
              </w:rPr>
            </w:pPr>
            <w:r>
              <w:rPr>
                <w:rFonts w:hint="eastAsia" w:ascii="宋体" w:hAnsi="宋体" w:eastAsia="宋体" w:cs="宋体"/>
                <w:snapToGrid w:val="0"/>
                <w:color w:val="auto"/>
                <w:kern w:val="0"/>
                <w:sz w:val="18"/>
                <w:szCs w:val="18"/>
                <w:lang w:val="en-US" w:eastAsia="zh-CN" w:bidi="ar"/>
              </w:rPr>
              <w:t xml:space="preserve">c) 不应放置在可燃物上或被可燃物覆盖； </w:t>
            </w:r>
          </w:p>
          <w:p w14:paraId="1D8B2AD5">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color w:val="auto"/>
                <w:sz w:val="18"/>
                <w:szCs w:val="18"/>
              </w:rPr>
            </w:pPr>
            <w:r>
              <w:rPr>
                <w:rFonts w:hint="eastAsia" w:ascii="宋体" w:hAnsi="宋体" w:eastAsia="宋体" w:cs="宋体"/>
                <w:snapToGrid w:val="0"/>
                <w:color w:val="auto"/>
                <w:kern w:val="0"/>
                <w:sz w:val="18"/>
                <w:szCs w:val="18"/>
                <w:lang w:val="en-US" w:eastAsia="zh-CN" w:bidi="ar"/>
              </w:rPr>
              <w:t xml:space="preserve">d) 不应串接使用； </w:t>
            </w:r>
          </w:p>
          <w:p w14:paraId="5A84C0CB">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e) 不应超负荷使用。</w:t>
            </w:r>
          </w:p>
        </w:tc>
      </w:tr>
      <w:tr w14:paraId="3E88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1B9F088C">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restart"/>
          </w:tcPr>
          <w:p w14:paraId="73B8D593">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照明</w:t>
            </w:r>
          </w:p>
          <w:p w14:paraId="1F7701E4">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装置</w:t>
            </w:r>
          </w:p>
          <w:p w14:paraId="518A0651">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和</w:t>
            </w:r>
          </w:p>
          <w:p w14:paraId="3824E326">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一般</w:t>
            </w:r>
          </w:p>
          <w:p w14:paraId="7FF32F77">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低压</w:t>
            </w:r>
          </w:p>
          <w:p w14:paraId="67233E6A">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用电</w:t>
            </w:r>
          </w:p>
          <w:p w14:paraId="488B6EA3">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设备</w:t>
            </w:r>
          </w:p>
        </w:tc>
        <w:tc>
          <w:tcPr>
            <w:tcW w:w="8194" w:type="dxa"/>
          </w:tcPr>
          <w:p w14:paraId="10C6BB58">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照明灯具（含变压器、镇流器）不应直接安装在可燃装修材料或可燃构件上。当灯具的高温部位靠近非A级装修材料或构件时，应采取隔热（如用玻璃丝、石棉布、石棉垫板等加以隔热防护）、散热（如在灯具上增加散热空隙或加强顶棚内通风降温，与可燃物保持一定距离）等防火保护措施。灯饰所用材料的燃烧性能等级不应低于难燃性（B1级）等级。 </w:t>
            </w:r>
          </w:p>
        </w:tc>
      </w:tr>
      <w:tr w14:paraId="43EA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5C3FA900">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center"/>
          </w:tcPr>
          <w:p w14:paraId="3F78E0A0">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39785FBE">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嵌入式灯具、贴顶灯具以及光檐（槽灯）照明，当采用卤钨灯以及单灯功率超过100W的白炽灯时，灯具（或灯）引入线应选用105℃～250℃耐热绝缘电线。绝缘导线应采用柔性导管保护，不应裸露且不应在灯槽内明敷，柔性导管与灯具壳体应采用专用接头连接。</w:t>
            </w:r>
          </w:p>
        </w:tc>
      </w:tr>
      <w:tr w14:paraId="37DD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2CE36FE0">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2D1CF5CF">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7D571A38">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聚光灯、回光灯、炭精灯不应安装在可燃基座上，灯头的尾线应用耐高温线或瓷套管保护。配线接点应设在金属接线盒内。 </w:t>
            </w:r>
          </w:p>
        </w:tc>
      </w:tr>
      <w:tr w14:paraId="2C34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19199B2D">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2442675F">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36BB4D17">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照明灯具及其附件应无异常高温和火花放电现象。 </w:t>
            </w:r>
          </w:p>
        </w:tc>
      </w:tr>
      <w:tr w14:paraId="15B9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4B09495D">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12BAB318">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7FC115AE">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灯具附件（镇流器等）的最高允许温度不应超过给定tw值，如没有标注tw值时，其最高允许温度不应超过95℃（内有衬纸）和85℃（内无衬纸）；电子镇流器外壳的最高允许温度不应超过tc值，如没有标注tc值时，其最高允许温度不应超过50℃。</w:t>
            </w:r>
          </w:p>
        </w:tc>
      </w:tr>
      <w:tr w14:paraId="0109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2C7B9D3D">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0F04BCC6">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0C5F8908">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低压断路器、低压隔离开关、刀开关、熔断器和剩余电流动作保护器的各接线端子不应有电弧。</w:t>
            </w:r>
          </w:p>
        </w:tc>
      </w:tr>
      <w:tr w14:paraId="539D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vAlign w:val="center"/>
          </w:tcPr>
          <w:p w14:paraId="19B8C405">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大型</w:t>
            </w:r>
          </w:p>
          <w:p w14:paraId="1206E099">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color w:val="auto"/>
                <w:sz w:val="18"/>
                <w:szCs w:val="18"/>
              </w:rPr>
            </w:pPr>
            <w:r>
              <w:rPr>
                <w:rFonts w:hint="eastAsia" w:ascii="宋体" w:hAnsi="宋体" w:eastAsia="宋体" w:cs="宋体"/>
                <w:snapToGrid w:val="0"/>
                <w:color w:val="auto"/>
                <w:kern w:val="0"/>
                <w:sz w:val="18"/>
                <w:szCs w:val="18"/>
                <w:lang w:val="en-US" w:eastAsia="zh-CN" w:bidi="ar"/>
              </w:rPr>
              <w:t>文艺</w:t>
            </w:r>
          </w:p>
          <w:p w14:paraId="3F9EC0EF">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演出</w:t>
            </w:r>
          </w:p>
          <w:p w14:paraId="54171407">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场所</w:t>
            </w:r>
          </w:p>
          <w:p w14:paraId="6C709316">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p>
          <w:p w14:paraId="3843D3F1">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 </w:t>
            </w:r>
          </w:p>
        </w:tc>
        <w:tc>
          <w:tcPr>
            <w:tcW w:w="741" w:type="dxa"/>
            <w:vMerge w:val="restart"/>
            <w:vAlign w:val="center"/>
          </w:tcPr>
          <w:p w14:paraId="664A2C13">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配电</w:t>
            </w:r>
          </w:p>
          <w:p w14:paraId="651F33B4">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箱</w:t>
            </w:r>
          </w:p>
        </w:tc>
        <w:tc>
          <w:tcPr>
            <w:tcW w:w="8194" w:type="dxa"/>
          </w:tcPr>
          <w:p w14:paraId="7EEDAD7C">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室内临时配电箱应固定牢固，各回路断路器和保护电器应设置在封闭的金属配电箱内。</w:t>
            </w:r>
          </w:p>
        </w:tc>
      </w:tr>
      <w:tr w14:paraId="1302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156BEB00">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center"/>
          </w:tcPr>
          <w:p w14:paraId="5C05F36D">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5E1A2B76">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室外配电箱应有防雨雪措施，进出线口应设在箱体的下方。 </w:t>
            </w:r>
          </w:p>
        </w:tc>
      </w:tr>
      <w:tr w14:paraId="09F4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08621663">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restart"/>
            <w:vAlign w:val="center"/>
          </w:tcPr>
          <w:p w14:paraId="0DCD538E">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线路</w:t>
            </w:r>
          </w:p>
          <w:p w14:paraId="74E37784">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敷设</w:t>
            </w:r>
          </w:p>
        </w:tc>
        <w:tc>
          <w:tcPr>
            <w:tcW w:w="8194" w:type="dxa"/>
          </w:tcPr>
          <w:p w14:paraId="2F90664C">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线路沿建筑物敷设时应固定牢固。 </w:t>
            </w:r>
          </w:p>
        </w:tc>
      </w:tr>
      <w:tr w14:paraId="34D0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5C7E0EA7">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center"/>
          </w:tcPr>
          <w:p w14:paraId="32EF81E3">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22B4DC64">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室内临时线路应使用橡套绝缘软线，导线在横穿通道地面处应有防机械损伤措施。 </w:t>
            </w:r>
          </w:p>
        </w:tc>
      </w:tr>
      <w:tr w14:paraId="15F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4A37D443">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0CE5F936">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3C776100">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导线的连接点均应使用插件或专用连接器连接；应有防止导线连接点直接承受拉力的措施。 </w:t>
            </w:r>
          </w:p>
        </w:tc>
      </w:tr>
      <w:tr w14:paraId="17A1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062CD0E8">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18139357">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282AEC2E">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橡套绝缘软线不宜盘绕在一起放置，否则应采取通风散热措施。 </w:t>
            </w:r>
          </w:p>
        </w:tc>
      </w:tr>
      <w:tr w14:paraId="1FBC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21942DE9">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3897E97D">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6FEB9D63">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一般情况，中性导体截面应与相导体截面相等。当有可控硅调光装置时，中性导体截面积不宜小于相导体截面积的2倍。 </w:t>
            </w:r>
          </w:p>
        </w:tc>
      </w:tr>
      <w:tr w14:paraId="3490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36" w:type="dxa"/>
            <w:vMerge w:val="continue"/>
          </w:tcPr>
          <w:p w14:paraId="20D03A3D">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restart"/>
            <w:vAlign w:val="center"/>
          </w:tcPr>
          <w:p w14:paraId="67DFFECC">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照明</w:t>
            </w:r>
          </w:p>
          <w:p w14:paraId="63E3683D">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装置</w:t>
            </w:r>
          </w:p>
          <w:p w14:paraId="0FF4C8E1">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和</w:t>
            </w:r>
          </w:p>
          <w:p w14:paraId="43C1F7D2">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一般</w:t>
            </w:r>
          </w:p>
          <w:p w14:paraId="0E44E838">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低压</w:t>
            </w:r>
          </w:p>
          <w:p w14:paraId="170F5263">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用电</w:t>
            </w:r>
          </w:p>
          <w:p w14:paraId="6928566C">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color w:val="auto"/>
                <w:sz w:val="18"/>
                <w:szCs w:val="18"/>
              </w:rPr>
            </w:pPr>
            <w:r>
              <w:rPr>
                <w:rFonts w:hint="eastAsia" w:ascii="宋体" w:hAnsi="宋体" w:eastAsia="宋体" w:cs="宋体"/>
                <w:snapToGrid w:val="0"/>
                <w:color w:val="auto"/>
                <w:kern w:val="0"/>
                <w:sz w:val="18"/>
                <w:szCs w:val="18"/>
                <w:lang w:val="en-US" w:eastAsia="zh-CN" w:bidi="ar"/>
              </w:rPr>
              <w:t>设备</w:t>
            </w:r>
          </w:p>
          <w:p w14:paraId="713EB7FD">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2FDCE747">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固定在移动构架上的灯具，其导线应有防止机械损伤措施；当移动构架时，导线不应承受拉力和遭受磨损。</w:t>
            </w:r>
          </w:p>
        </w:tc>
      </w:tr>
      <w:tr w14:paraId="3563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6" w:type="dxa"/>
            <w:vMerge w:val="continue"/>
          </w:tcPr>
          <w:p w14:paraId="01EFA0D0">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center"/>
          </w:tcPr>
          <w:p w14:paraId="24B53B98">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1EF27C0C">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both"/>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固定构架上的灯具应采用专用支架与构架固定牢固。</w:t>
            </w:r>
          </w:p>
        </w:tc>
      </w:tr>
      <w:tr w14:paraId="5725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3EEA3BDD">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2131990D">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6FA36F0C">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用于舞台效果的灯具，其灯头引线均应采用耐高温导线或穿瓷管保护，再经接线柱与灯具连接，导线不应靠近灯具表面。 </w:t>
            </w:r>
          </w:p>
        </w:tc>
      </w:tr>
      <w:tr w14:paraId="5013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04271588">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14902463">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34A9B24A">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 xml:space="preserve">灯具附件（镇流器等）的最高允许温度不应超过给定tw值，如没有标注tw值时，其最高允许温度不应超过（内有衬纸）95℃和（内无衬纸）85℃；电子镇流器外壳的最高允许温度不应超过tc值，如没有标注tc值时，其最高允许温度不应超过50℃。 </w:t>
            </w:r>
          </w:p>
        </w:tc>
      </w:tr>
      <w:tr w14:paraId="1763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dxa"/>
            <w:vMerge w:val="restart"/>
            <w:vAlign w:val="center"/>
          </w:tcPr>
          <w:p w14:paraId="515E086C">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轨道交通</w:t>
            </w:r>
          </w:p>
          <w:p w14:paraId="6FB9C4A4">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default" w:ascii="宋体" w:hAnsi="宋体" w:eastAsia="宋体" w:cs="宋体"/>
                <w:snapToGrid/>
                <w:color w:val="auto"/>
                <w:kern w:val="0"/>
                <w:position w:val="-2"/>
                <w:sz w:val="18"/>
                <w:szCs w:val="18"/>
                <w:vertAlign w:val="baseline"/>
                <w:lang w:val="en-US" w:eastAsia="zh-CN" w:bidi="ar-SA"/>
              </w:rPr>
            </w:pPr>
            <w:r>
              <w:rPr>
                <w:rFonts w:hint="eastAsia" w:ascii="宋体" w:hAnsi="宋体" w:cs="宋体"/>
                <w:snapToGrid/>
                <w:color w:val="auto"/>
                <w:kern w:val="0"/>
                <w:position w:val="-2"/>
                <w:sz w:val="18"/>
                <w:szCs w:val="18"/>
                <w:vertAlign w:val="baseline"/>
                <w:lang w:val="en-US" w:eastAsia="zh-CN" w:bidi="ar-SA"/>
              </w:rPr>
              <w:t>车站、隧道</w:t>
            </w:r>
          </w:p>
        </w:tc>
        <w:tc>
          <w:tcPr>
            <w:tcW w:w="741" w:type="dxa"/>
            <w:vMerge w:val="restart"/>
            <w:vAlign w:val="center"/>
          </w:tcPr>
          <w:p w14:paraId="0D223AD3">
            <w:pPr>
              <w:keepNext w:val="0"/>
              <w:keepLines w:val="0"/>
              <w:pageBreakBefore w:val="0"/>
              <w:widowControl w:val="0"/>
              <w:tabs>
                <w:tab w:val="right" w:leader="dot" w:pos="9337"/>
              </w:tabs>
              <w:wordWrap/>
              <w:overflowPunct/>
              <w:topLinePunct w:val="0"/>
              <w:bidi w:val="0"/>
              <w:jc w:val="center"/>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color w:val="auto"/>
                <w:position w:val="-2"/>
                <w:sz w:val="18"/>
                <w:szCs w:val="18"/>
              </w:rPr>
              <w:t>400V及以下配电箱/柜</w:t>
            </w:r>
          </w:p>
        </w:tc>
        <w:tc>
          <w:tcPr>
            <w:tcW w:w="8194" w:type="dxa"/>
            <w:vAlign w:val="top"/>
          </w:tcPr>
          <w:p w14:paraId="7509E5AE">
            <w:pPr>
              <w:keepNext w:val="0"/>
              <w:keepLines w:val="0"/>
              <w:pageBreakBefore w:val="0"/>
              <w:widowControl/>
              <w:wordWrap/>
              <w:overflowPunct/>
              <w:topLinePunct w:val="0"/>
              <w:bidi w:val="0"/>
              <w:jc w:val="both"/>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color w:val="auto"/>
                <w:sz w:val="18"/>
                <w:szCs w:val="18"/>
              </w:rPr>
              <w:t>紧固配电箱/柜内接线排，检查线束应无脱落破损，线路 无虚接，接线端子螺丝应无过热、烧伤、氧化。</w:t>
            </w:r>
          </w:p>
        </w:tc>
      </w:tr>
      <w:tr w14:paraId="7803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36" w:type="dxa"/>
            <w:vMerge w:val="continue"/>
            <w:vAlign w:val="center"/>
          </w:tcPr>
          <w:p w14:paraId="2FEA6D30">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center"/>
          </w:tcPr>
          <w:p w14:paraId="10AE4F1A">
            <w:pPr>
              <w:keepNext w:val="0"/>
              <w:keepLines w:val="0"/>
              <w:pageBreakBefore w:val="0"/>
              <w:widowControl w:val="0"/>
              <w:tabs>
                <w:tab w:val="right" w:leader="dot" w:pos="9337"/>
              </w:tabs>
              <w:wordWrap/>
              <w:overflowPunct/>
              <w:topLinePunct w:val="0"/>
              <w:bidi w:val="0"/>
              <w:spacing w:line="312" w:lineRule="auto"/>
              <w:jc w:val="center"/>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740D98D3">
            <w:pPr>
              <w:keepNext w:val="0"/>
              <w:keepLines w:val="0"/>
              <w:pageBreakBefore w:val="0"/>
              <w:widowControl/>
              <w:wordWrap/>
              <w:overflowPunct/>
              <w:topLinePunct w:val="0"/>
              <w:bidi w:val="0"/>
              <w:jc w:val="both"/>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color w:val="auto"/>
                <w:sz w:val="18"/>
                <w:szCs w:val="18"/>
              </w:rPr>
              <w:t>手动触发漏电保护装置，应可靠动作并断电。</w:t>
            </w:r>
          </w:p>
        </w:tc>
      </w:tr>
      <w:tr w14:paraId="0C78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36" w:type="dxa"/>
            <w:vMerge w:val="continue"/>
            <w:vAlign w:val="center"/>
          </w:tcPr>
          <w:p w14:paraId="6C3F23DA">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center"/>
          </w:tcPr>
          <w:p w14:paraId="5613F005">
            <w:pPr>
              <w:keepNext w:val="0"/>
              <w:keepLines w:val="0"/>
              <w:pageBreakBefore w:val="0"/>
              <w:widowControl w:val="0"/>
              <w:tabs>
                <w:tab w:val="right" w:leader="dot" w:pos="9337"/>
              </w:tabs>
              <w:wordWrap/>
              <w:overflowPunct/>
              <w:topLinePunct w:val="0"/>
              <w:bidi w:val="0"/>
              <w:spacing w:line="312" w:lineRule="auto"/>
              <w:jc w:val="center"/>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4F1960EF">
            <w:pPr>
              <w:keepNext w:val="0"/>
              <w:keepLines w:val="0"/>
              <w:pageBreakBefore w:val="0"/>
              <w:widowControl/>
              <w:wordWrap/>
              <w:overflowPunct/>
              <w:topLinePunct w:val="0"/>
              <w:bidi w:val="0"/>
              <w:jc w:val="both"/>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color w:val="auto"/>
                <w:sz w:val="18"/>
                <w:szCs w:val="18"/>
              </w:rPr>
              <w:t>检查箱/柜体的接地电阻应正常；检查母线排对地绝缘电阻应不低于 0.5MΩ。</w:t>
            </w:r>
          </w:p>
        </w:tc>
      </w:tr>
      <w:tr w14:paraId="3AB6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3E271E9D">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restart"/>
            <w:vAlign w:val="center"/>
          </w:tcPr>
          <w:p w14:paraId="1DAA4F76">
            <w:pPr>
              <w:keepNext w:val="0"/>
              <w:keepLines w:val="0"/>
              <w:pageBreakBefore w:val="0"/>
              <w:widowControl/>
              <w:wordWrap/>
              <w:overflowPunct/>
              <w:topLinePunct w:val="0"/>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1500V开关柜</w:t>
            </w:r>
          </w:p>
        </w:tc>
        <w:tc>
          <w:tcPr>
            <w:tcW w:w="8194" w:type="dxa"/>
            <w:vAlign w:val="center"/>
          </w:tcPr>
          <w:p w14:paraId="350E0E30">
            <w:pPr>
              <w:keepNext w:val="0"/>
              <w:keepLines w:val="0"/>
              <w:pageBreakBefore w:val="0"/>
              <w:widowControl/>
              <w:wordWrap/>
              <w:overflowPunct/>
              <w:topLinePunct w:val="0"/>
              <w:bidi w:val="0"/>
              <w:jc w:val="both"/>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检查</w:t>
            </w:r>
            <w:r>
              <w:rPr>
                <w:rFonts w:hint="eastAsia" w:ascii="宋体" w:hAnsi="宋体" w:eastAsia="宋体" w:cs="宋体"/>
                <w:color w:val="auto"/>
                <w:sz w:val="18"/>
                <w:szCs w:val="18"/>
              </w:rPr>
              <w:t>柜内设备，各部件、表计、指示灯表面，尤其是绝缘部件应清洁干净，无烧伤放电痕迹。</w:t>
            </w:r>
          </w:p>
        </w:tc>
      </w:tr>
      <w:tr w14:paraId="5D47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0E9A5193">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top"/>
          </w:tcPr>
          <w:p w14:paraId="68FBC24E">
            <w:pPr>
              <w:keepNext w:val="0"/>
              <w:keepLines w:val="0"/>
              <w:pageBreakBefore w:val="0"/>
              <w:widowControl/>
              <w:wordWrap/>
              <w:overflowPunct/>
              <w:topLinePunct w:val="0"/>
              <w:bidi w:val="0"/>
              <w:jc w:val="both"/>
              <w:rPr>
                <w:rFonts w:hint="eastAsia" w:ascii="宋体" w:hAnsi="宋体" w:eastAsia="宋体" w:cs="宋体"/>
                <w:color w:val="auto"/>
                <w:sz w:val="18"/>
                <w:szCs w:val="18"/>
                <w:lang w:val="en-US" w:eastAsia="zh-CN"/>
              </w:rPr>
            </w:pPr>
          </w:p>
        </w:tc>
        <w:tc>
          <w:tcPr>
            <w:tcW w:w="8194" w:type="dxa"/>
            <w:vAlign w:val="center"/>
          </w:tcPr>
          <w:p w14:paraId="19A614A0">
            <w:pPr>
              <w:keepNext w:val="0"/>
              <w:keepLines w:val="0"/>
              <w:pageBreakBefore w:val="0"/>
              <w:widowControl/>
              <w:wordWrap/>
              <w:overflowPunct/>
              <w:topLinePunct w:val="0"/>
              <w:bidi w:val="0"/>
              <w:jc w:val="both"/>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检查</w:t>
            </w:r>
            <w:r>
              <w:rPr>
                <w:rFonts w:hint="eastAsia" w:ascii="宋体" w:hAnsi="宋体" w:eastAsia="宋体" w:cs="宋体"/>
                <w:color w:val="auto"/>
                <w:sz w:val="18"/>
                <w:szCs w:val="18"/>
              </w:rPr>
              <w:t>隔离开关动静触头无烧蚀痕迹。</w:t>
            </w:r>
          </w:p>
        </w:tc>
      </w:tr>
      <w:tr w14:paraId="73A1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65186ABB">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restart"/>
            <w:vAlign w:val="top"/>
          </w:tcPr>
          <w:p w14:paraId="63041398">
            <w:pPr>
              <w:keepNext w:val="0"/>
              <w:keepLines w:val="0"/>
              <w:pageBreakBefore w:val="0"/>
              <w:widowControl/>
              <w:wordWrap/>
              <w:overflowPunct/>
              <w:topLinePunct w:val="0"/>
              <w:bidi w:val="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线缆、桥架</w:t>
            </w:r>
          </w:p>
        </w:tc>
        <w:tc>
          <w:tcPr>
            <w:tcW w:w="8194" w:type="dxa"/>
            <w:vAlign w:val="top"/>
          </w:tcPr>
          <w:p w14:paraId="1AAE8652">
            <w:pPr>
              <w:keepNext w:val="0"/>
              <w:keepLines w:val="0"/>
              <w:pageBreakBefore w:val="0"/>
              <w:widowControl/>
              <w:wordWrap/>
              <w:overflowPunct/>
              <w:topLinePunct w:val="0"/>
              <w:bidi w:val="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检查线缆外观无破损、无龟裂，桥架应固定牢固。</w:t>
            </w:r>
          </w:p>
        </w:tc>
      </w:tr>
      <w:tr w14:paraId="379B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0D338130">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top"/>
          </w:tcPr>
          <w:p w14:paraId="63EA62D9">
            <w:pPr>
              <w:keepNext w:val="0"/>
              <w:keepLines w:val="0"/>
              <w:pageBreakBefore w:val="0"/>
              <w:widowControl/>
              <w:wordWrap/>
              <w:overflowPunct/>
              <w:topLinePunct w:val="0"/>
              <w:bidi w:val="0"/>
              <w:jc w:val="both"/>
              <w:rPr>
                <w:rFonts w:hint="eastAsia" w:ascii="宋体" w:hAnsi="宋体" w:eastAsia="宋体" w:cs="宋体"/>
                <w:color w:val="auto"/>
                <w:sz w:val="18"/>
                <w:szCs w:val="18"/>
                <w:lang w:val="en-US" w:eastAsia="zh-CN"/>
              </w:rPr>
            </w:pPr>
          </w:p>
        </w:tc>
        <w:tc>
          <w:tcPr>
            <w:tcW w:w="8194" w:type="dxa"/>
            <w:vAlign w:val="top"/>
          </w:tcPr>
          <w:p w14:paraId="35640F83">
            <w:pPr>
              <w:keepNext w:val="0"/>
              <w:keepLines w:val="0"/>
              <w:pageBreakBefore w:val="0"/>
              <w:widowControl/>
              <w:wordWrap/>
              <w:overflowPunct/>
              <w:topLinePunct w:val="0"/>
              <w:bidi w:val="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检查桥架连接线应正常。</w:t>
            </w:r>
          </w:p>
        </w:tc>
      </w:tr>
      <w:tr w14:paraId="33DD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vAlign w:val="center"/>
          </w:tcPr>
          <w:p w14:paraId="1BB120DA">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文物场所</w:t>
            </w:r>
          </w:p>
        </w:tc>
        <w:tc>
          <w:tcPr>
            <w:tcW w:w="741" w:type="dxa"/>
            <w:vMerge w:val="restart"/>
            <w:vAlign w:val="center"/>
          </w:tcPr>
          <w:p w14:paraId="4C555C98">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jc w:val="center"/>
              <w:textAlignment w:val="baseline"/>
              <w:rPr>
                <w:rFonts w:hint="default"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变配电设备</w:t>
            </w:r>
          </w:p>
        </w:tc>
        <w:tc>
          <w:tcPr>
            <w:tcW w:w="8194" w:type="dxa"/>
            <w:vAlign w:val="center"/>
          </w:tcPr>
          <w:p w14:paraId="6D92B31E">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color w:val="auto"/>
                <w:kern w:val="2"/>
                <w:sz w:val="18"/>
                <w:szCs w:val="18"/>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文物场所</w:t>
            </w:r>
            <w:r>
              <w:rPr>
                <w:rFonts w:hint="eastAsia" w:ascii="宋体" w:hAnsi="宋体" w:eastAsia="宋体" w:cs="宋体"/>
                <w:color w:val="auto"/>
                <w:sz w:val="18"/>
                <w:szCs w:val="18"/>
                <w:lang w:val="en-US" w:eastAsia="zh-CN"/>
              </w:rPr>
              <w:t>宜选择</w:t>
            </w:r>
            <w:r>
              <w:rPr>
                <w:rFonts w:hint="eastAsia" w:ascii="宋体" w:hAnsi="宋体" w:eastAsia="宋体" w:cs="宋体"/>
                <w:color w:val="auto"/>
                <w:sz w:val="18"/>
                <w:szCs w:val="18"/>
              </w:rPr>
              <w:t>干式变压器</w:t>
            </w:r>
            <w:r>
              <w:rPr>
                <w:rFonts w:hint="eastAsia" w:ascii="宋体" w:hAnsi="宋体" w:eastAsia="宋体" w:cs="宋体"/>
                <w:color w:val="auto"/>
                <w:sz w:val="18"/>
                <w:szCs w:val="18"/>
                <w:lang w:val="en-US" w:eastAsia="zh-CN"/>
              </w:rPr>
              <w:t>或</w:t>
            </w:r>
            <w:r>
              <w:rPr>
                <w:rFonts w:hint="eastAsia" w:ascii="宋体" w:hAnsi="宋体" w:eastAsia="宋体" w:cs="宋体"/>
                <w:color w:val="auto"/>
                <w:sz w:val="18"/>
                <w:szCs w:val="18"/>
              </w:rPr>
              <w:t>预装式变电站。</w:t>
            </w:r>
          </w:p>
        </w:tc>
      </w:tr>
      <w:tr w14:paraId="4092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7E364878">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center"/>
          </w:tcPr>
          <w:p w14:paraId="3ADBACD6">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2B00A8C0">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变压器与文物建筑本体、可燃物应保持足够的安全距离。</w:t>
            </w:r>
          </w:p>
        </w:tc>
      </w:tr>
      <w:tr w14:paraId="41F1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62CE2386">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39DC79D6">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326A8868">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color w:val="auto"/>
                <w:kern w:val="2"/>
                <w:sz w:val="18"/>
                <w:szCs w:val="18"/>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文物建筑的配电箱外壳应为金属外壳，箱体电气防护等级室内不应低于IP54，室外不应低于IP65。</w:t>
            </w:r>
          </w:p>
        </w:tc>
      </w:tr>
      <w:tr w14:paraId="274F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2CF6DC85">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66F2C813">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409BD225">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color w:val="auto"/>
                <w:kern w:val="2"/>
                <w:sz w:val="18"/>
                <w:szCs w:val="18"/>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配电设备不应安装在明火和热源附近，亦不应安装在木质等可燃构件上。配电设备外壳距可燃构件不应小于0.3m。</w:t>
            </w:r>
          </w:p>
        </w:tc>
      </w:tr>
      <w:tr w14:paraId="48DD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2369FE8E">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restart"/>
            <w:vAlign w:val="center"/>
          </w:tcPr>
          <w:p w14:paraId="56AFAE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线路</w:t>
            </w:r>
          </w:p>
          <w:p w14:paraId="432AC272">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敷设</w:t>
            </w:r>
          </w:p>
        </w:tc>
        <w:tc>
          <w:tcPr>
            <w:tcW w:w="8194" w:type="dxa"/>
            <w:vAlign w:val="top"/>
          </w:tcPr>
          <w:p w14:paraId="60AA44D5">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color w:val="auto"/>
                <w:kern w:val="2"/>
                <w:sz w:val="18"/>
                <w:szCs w:val="18"/>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配电线路应设置与电气设备相匹配的短路、过载保护装置。</w:t>
            </w:r>
          </w:p>
        </w:tc>
      </w:tr>
      <w:tr w14:paraId="1903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1D8390AB">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4A25D8BE">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16597425">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color w:val="auto"/>
                <w:kern w:val="2"/>
                <w:sz w:val="18"/>
                <w:szCs w:val="18"/>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配电线路的保护导体或保护接地中性导体应在进入文物建筑时接地，进入文物建筑后的配电线路N线与PE线应严格分开。</w:t>
            </w:r>
          </w:p>
        </w:tc>
      </w:tr>
      <w:tr w14:paraId="57AB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4CC20CD7">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2BFAA08E">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677B2A56">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color w:val="auto"/>
                <w:kern w:val="0"/>
                <w:position w:val="-2"/>
                <w:sz w:val="18"/>
                <w:szCs w:val="18"/>
                <w:vertAlign w:val="baseline"/>
                <w:lang w:val="en-US" w:eastAsia="zh-CN" w:bidi="ar-SA"/>
              </w:rPr>
              <w:t>设备和管线的安装应避开潮湿部位和炉灶、烟囱等高温部位。</w:t>
            </w:r>
          </w:p>
        </w:tc>
      </w:tr>
      <w:tr w14:paraId="4C02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5070F88C">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5447B4B9">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388A32EA">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仿宋_GB2312" w:cs="宋体"/>
                <w:snapToGrid/>
                <w:color w:val="auto"/>
                <w:kern w:val="0"/>
                <w:position w:val="-2"/>
                <w:sz w:val="18"/>
                <w:szCs w:val="18"/>
                <w:vertAlign w:val="baseline"/>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配电线路不宜直接敷设在可燃物上；当必须敷设在可燃物上或在有可燃物的吊顶内敷设时，应穿金属管敷设；且不应在集中储存的柴草、饲料等可燃物堆垛附近安装。</w:t>
            </w:r>
          </w:p>
        </w:tc>
      </w:tr>
      <w:tr w14:paraId="2C35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00F1AFFA">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153A61AA">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176651AF">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设备和管线宜明装，配电线路应穿金属导管保护；室内配电线路埋地敷设时，应穿壁厚不小于2.0mm的热镀锌金属导管保护，管线应敷设在夯实的基础土层，并采取固定措施。</w:t>
            </w:r>
          </w:p>
        </w:tc>
      </w:tr>
      <w:tr w14:paraId="1AFF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1C8109FD">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587785E9">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71B038D7">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室内明敷设管线安装时，应横平竖直、排列整齐。管路与终端、弯头中点、接线盒或过路盒、电气器具等的边缘距离应在15cm～50cm范围内固定。</w:t>
            </w:r>
          </w:p>
        </w:tc>
      </w:tr>
      <w:tr w14:paraId="7027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36" w:type="dxa"/>
            <w:vMerge w:val="continue"/>
          </w:tcPr>
          <w:p w14:paraId="0BE92E90">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restart"/>
          </w:tcPr>
          <w:p w14:paraId="0713D9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用电</w:t>
            </w:r>
          </w:p>
          <w:p w14:paraId="1C1B7C9E">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设备</w:t>
            </w:r>
          </w:p>
        </w:tc>
        <w:tc>
          <w:tcPr>
            <w:tcW w:w="8194" w:type="dxa"/>
            <w:vAlign w:val="top"/>
          </w:tcPr>
          <w:p w14:paraId="201279C2">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文物建筑的各种开关应采用密闭型。</w:t>
            </w:r>
          </w:p>
        </w:tc>
      </w:tr>
      <w:tr w14:paraId="5CFD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4D18D27D">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43F441F3">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5C084FD2">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color w:val="auto"/>
                <w:kern w:val="0"/>
                <w:position w:val="-2"/>
                <w:sz w:val="18"/>
                <w:szCs w:val="18"/>
                <w:vertAlign w:val="baseline"/>
                <w:lang w:val="en-US" w:eastAsia="zh-CN" w:bidi="ar-SA"/>
              </w:rPr>
              <w:t>文物建筑的照明光源宜使用冷光源，且灯具附件无危险高温。</w:t>
            </w:r>
          </w:p>
        </w:tc>
      </w:tr>
      <w:tr w14:paraId="7312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vAlign w:val="center"/>
          </w:tcPr>
          <w:p w14:paraId="1C6C6C56">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施工</w:t>
            </w:r>
          </w:p>
          <w:p w14:paraId="65909561">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default"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color w:val="auto"/>
                <w:kern w:val="0"/>
                <w:position w:val="-2"/>
                <w:sz w:val="18"/>
                <w:szCs w:val="18"/>
                <w:vertAlign w:val="baseline"/>
                <w:lang w:val="en-US" w:eastAsia="zh-CN" w:bidi="ar-SA"/>
              </w:rPr>
              <w:t>场地</w:t>
            </w:r>
          </w:p>
        </w:tc>
        <w:tc>
          <w:tcPr>
            <w:tcW w:w="741" w:type="dxa"/>
            <w:vMerge w:val="restart"/>
            <w:vAlign w:val="center"/>
          </w:tcPr>
          <w:p w14:paraId="1821F703">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配电箱</w:t>
            </w:r>
          </w:p>
        </w:tc>
        <w:tc>
          <w:tcPr>
            <w:tcW w:w="8194" w:type="dxa"/>
            <w:vAlign w:val="top"/>
          </w:tcPr>
          <w:p w14:paraId="7F0418E6">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施工场地的配电箱应能耐受撞击、振动、雨淋、日晒等严酷环境，并用不燃材料或铁板制成。</w:t>
            </w:r>
          </w:p>
        </w:tc>
      </w:tr>
      <w:tr w14:paraId="1EF3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3AB52D57">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center"/>
          </w:tcPr>
          <w:p w14:paraId="46E2B757">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56A84560">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配电箱外壳的防护等级不应低于IP43。</w:t>
            </w:r>
          </w:p>
        </w:tc>
      </w:tr>
      <w:tr w14:paraId="2882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1306C308">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center"/>
          </w:tcPr>
          <w:p w14:paraId="4DC9A11F">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484C2D4D">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配电箱应由专人管理，只能用钥或专用工具才能开启。</w:t>
            </w:r>
          </w:p>
        </w:tc>
      </w:tr>
      <w:tr w14:paraId="7225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1EAB84B7">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center"/>
          </w:tcPr>
          <w:p w14:paraId="79193494">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0B6CB50D">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非电工人员只能通过配电箱对外开启的插座，将电气设备在空载状态下接入插座，其额定电流不应大于10A。</w:t>
            </w:r>
          </w:p>
        </w:tc>
      </w:tr>
      <w:tr w14:paraId="136A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389A7DDB">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center"/>
          </w:tcPr>
          <w:p w14:paraId="18334181">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3AC262DE">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总配电箱的三相电源进线处必须装设三相剩余电流动作保护器，一般选用低灵敏度延时型，其额定剩余动作电流可选300mA或500mA。</w:t>
            </w:r>
          </w:p>
        </w:tc>
      </w:tr>
      <w:tr w14:paraId="42E4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0730C9EC">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center"/>
          </w:tcPr>
          <w:p w14:paraId="06EB846E">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4AEE625D">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施工场地的总配电箱和各分配电箱的PE线母排和电源插座的接地端子必须可靠接地（在施工开始之初应采用自然接地极或人工接地装置做好接地保护，在埋入建筑物钢筋后，该基础钢筋既应作建筑物的永久性接地极，又作施工时的临时接地极）。</w:t>
            </w:r>
          </w:p>
        </w:tc>
      </w:tr>
      <w:tr w14:paraId="3E76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24E6EB3B">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restart"/>
            <w:vAlign w:val="center"/>
          </w:tcPr>
          <w:p w14:paraId="4E084D2B">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线路</w:t>
            </w:r>
          </w:p>
          <w:p w14:paraId="0759F7BA">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敷设</w:t>
            </w:r>
          </w:p>
          <w:p w14:paraId="1EEC21D4">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19A3AFAE">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施工场地架空线路的电杆应避开易受碰撞、易受雨水冲刷和应避开热力管道和交通车辆频繁的场所，安装时应尽量减少导线连接端子承受的力。</w:t>
            </w:r>
          </w:p>
        </w:tc>
      </w:tr>
      <w:tr w14:paraId="2033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7014C92F">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27461100">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71D44093">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电缆敷设的路径应尽量避免与车行道交叉，交叉时必须套以钢管作机械保护。</w:t>
            </w:r>
          </w:p>
        </w:tc>
      </w:tr>
      <w:tr w14:paraId="1E94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75330936">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0FE426B5">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116DDE64">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应采用电缆或绝缘导线。</w:t>
            </w:r>
          </w:p>
        </w:tc>
      </w:tr>
      <w:tr w14:paraId="37FC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52AE9E20">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28613FDE">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303236F1">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工棚内的电气线路，除橡套软电缆和护套外，均应固定在绝缘子上，穿墙时应套绝缘管</w:t>
            </w:r>
          </w:p>
        </w:tc>
      </w:tr>
      <w:tr w14:paraId="4AE8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04F76BF4">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26F72D4B">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618D1876">
            <w:pPr>
              <w:pStyle w:val="81"/>
              <w:keepNext w:val="0"/>
              <w:keepLines w:val="0"/>
              <w:pageBreakBefore w:val="0"/>
              <w:widowControl/>
              <w:suppressLineNumbers w:val="0"/>
              <w:wordWrap/>
              <w:overflowPunct/>
              <w:topLinePunct w:val="0"/>
              <w:bidi w:val="0"/>
              <w:spacing w:beforeAutospacing="0" w:line="180" w:lineRule="atLeast"/>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电气线路不得接触潮湿地面，不得靠近热源，不得直接绑挂在金属构架上任其幌动而不加绝缘子固定。</w:t>
            </w:r>
          </w:p>
        </w:tc>
      </w:tr>
      <w:tr w14:paraId="426A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6A857ED8">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3AC61520">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top"/>
          </w:tcPr>
          <w:p w14:paraId="2DC058C2">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在竹木脚手架上敷设线路时应采用绝缘子固定，在金属脚手架上敷设线路时，应采用木横担和绝缘子固定。</w:t>
            </w:r>
          </w:p>
        </w:tc>
      </w:tr>
      <w:tr w14:paraId="5BB5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36" w:type="dxa"/>
            <w:vMerge w:val="continue"/>
          </w:tcPr>
          <w:p w14:paraId="15850F95">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tcPr>
          <w:p w14:paraId="47B3C1D3">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1DAE98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移动电缆应采用铜芯重型橡套电缆。</w:t>
            </w:r>
          </w:p>
        </w:tc>
      </w:tr>
      <w:tr w14:paraId="4F52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49776636">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restart"/>
            <w:vAlign w:val="center"/>
          </w:tcPr>
          <w:p w14:paraId="61DF9FEC">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center"/>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用电</w:t>
            </w:r>
          </w:p>
          <w:p w14:paraId="7A04B467">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设备</w:t>
            </w:r>
          </w:p>
        </w:tc>
        <w:tc>
          <w:tcPr>
            <w:tcW w:w="8194" w:type="dxa"/>
            <w:vAlign w:val="center"/>
          </w:tcPr>
          <w:p w14:paraId="1ED1C815">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移动式或手持式电动工具的电源线应采用铜芯橡套软电缆或聚氯乙烯绝缘聚氯乙烯护套软电缆，使用中应防止受热源烘烤和受机械损伤。</w:t>
            </w:r>
          </w:p>
        </w:tc>
      </w:tr>
      <w:tr w14:paraId="2842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Pr>
          <w:p w14:paraId="03064DB4">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741" w:type="dxa"/>
            <w:vMerge w:val="continue"/>
            <w:vAlign w:val="center"/>
          </w:tcPr>
          <w:p w14:paraId="57843920">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731D885A">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val="0"/>
                <w:color w:val="auto"/>
                <w:kern w:val="0"/>
                <w:sz w:val="18"/>
                <w:szCs w:val="18"/>
                <w:lang w:val="en-US" w:eastAsia="zh-CN" w:bidi="ar"/>
              </w:rPr>
            </w:pPr>
            <w:r>
              <w:rPr>
                <w:rFonts w:hint="eastAsia" w:ascii="宋体" w:hAnsi="宋体" w:eastAsia="宋体" w:cs="宋体"/>
                <w:snapToGrid w:val="0"/>
                <w:color w:val="auto"/>
                <w:kern w:val="0"/>
                <w:sz w:val="18"/>
                <w:szCs w:val="18"/>
                <w:lang w:val="en-US" w:eastAsia="zh-CN" w:bidi="ar"/>
              </w:rPr>
              <w:t>施工场地户外灯具的外壳防护等级不应低于IP33。</w:t>
            </w:r>
          </w:p>
        </w:tc>
      </w:tr>
      <w:tr w14:paraId="2B6D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gridSpan w:val="2"/>
            <w:vMerge w:val="restart"/>
            <w:vAlign w:val="center"/>
          </w:tcPr>
          <w:p w14:paraId="4FA630EB">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桑拿浴室</w:t>
            </w:r>
          </w:p>
        </w:tc>
        <w:tc>
          <w:tcPr>
            <w:tcW w:w="8194" w:type="dxa"/>
          </w:tcPr>
          <w:p w14:paraId="6CA3CF3E">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距桑拿浴加热器附近0.5m，垂直平面向上延伸至屋顶空间内的区域，除加热设备外，不应安装其它设备和线路，加热器的电源引线应符合产品本身耐高温要求，加热器距墙壁应大于100mm；并应加装隔热板。</w:t>
            </w:r>
          </w:p>
        </w:tc>
      </w:tr>
      <w:tr w14:paraId="01A4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gridSpan w:val="2"/>
            <w:vMerge w:val="continue"/>
          </w:tcPr>
          <w:p w14:paraId="53A611F8">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34ECD176">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距桑拿浴加热器垂直平面0.5m外、离地1m空间内的区域对线路和设备无耐高温要求，加热器的开关和控制器可以根据生产厂家的说明书安装在此区域。</w:t>
            </w:r>
          </w:p>
        </w:tc>
      </w:tr>
      <w:tr w14:paraId="4A8B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gridSpan w:val="2"/>
            <w:vMerge w:val="continue"/>
          </w:tcPr>
          <w:p w14:paraId="51436336">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58BCC678">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距桑拿浴加热器垂直平面0.5m外、离地1m以上空间内的区域，在此区域内的电气设备应能承受至少125℃的高温，绝缘导线应能承受至少170℃的高温。</w:t>
            </w:r>
          </w:p>
        </w:tc>
      </w:tr>
      <w:tr w14:paraId="1C7F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gridSpan w:val="2"/>
            <w:vMerge w:val="continue"/>
          </w:tcPr>
          <w:p w14:paraId="7CB58E39">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tcPr>
          <w:p w14:paraId="3724F088">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电气线路和设备至少应具备IP24的防护等级，用水冲洗清洁的电气线路和设备，其防水等级应达到5级。</w:t>
            </w:r>
          </w:p>
        </w:tc>
      </w:tr>
      <w:tr w14:paraId="0776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gridSpan w:val="2"/>
            <w:vMerge w:val="continue"/>
          </w:tcPr>
          <w:p w14:paraId="7B133911">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4B42F4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除加热器用的开关外，其它开关均应安装在桑拿浴室墙外。</w:t>
            </w:r>
          </w:p>
        </w:tc>
      </w:tr>
      <w:tr w14:paraId="1747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gridSpan w:val="2"/>
            <w:vMerge w:val="continue"/>
          </w:tcPr>
          <w:p w14:paraId="604D8A17">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5E90B7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桑拿浴室内不应装设电源插座。</w:t>
            </w:r>
          </w:p>
        </w:tc>
      </w:tr>
      <w:tr w14:paraId="580F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gridSpan w:val="2"/>
            <w:vMerge w:val="continue"/>
          </w:tcPr>
          <w:p w14:paraId="217B877C">
            <w:pPr>
              <w:keepNext w:val="0"/>
              <w:keepLines w:val="0"/>
              <w:pageBreakBefore w:val="0"/>
              <w:widowControl w:val="0"/>
              <w:tabs>
                <w:tab w:val="right" w:leader="dot" w:pos="9337"/>
              </w:tabs>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napToGrid/>
                <w:color w:val="auto"/>
                <w:kern w:val="0"/>
                <w:position w:val="-2"/>
                <w:sz w:val="18"/>
                <w:szCs w:val="18"/>
                <w:vertAlign w:val="baseline"/>
                <w:lang w:val="en-US" w:eastAsia="zh-CN" w:bidi="ar-SA"/>
              </w:rPr>
            </w:pPr>
          </w:p>
        </w:tc>
        <w:tc>
          <w:tcPr>
            <w:tcW w:w="8194" w:type="dxa"/>
            <w:vAlign w:val="center"/>
          </w:tcPr>
          <w:p w14:paraId="7D1C17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color w:val="auto"/>
                <w:kern w:val="0"/>
                <w:position w:val="-2"/>
                <w:sz w:val="18"/>
                <w:szCs w:val="18"/>
                <w:vertAlign w:val="baseline"/>
                <w:lang w:val="en-US" w:eastAsia="zh-CN" w:bidi="ar-SA"/>
              </w:rPr>
            </w:pPr>
            <w:r>
              <w:rPr>
                <w:rFonts w:hint="eastAsia" w:ascii="宋体" w:hAnsi="宋体" w:eastAsia="宋体" w:cs="宋体"/>
                <w:snapToGrid w:val="0"/>
                <w:color w:val="auto"/>
                <w:kern w:val="0"/>
                <w:sz w:val="18"/>
                <w:szCs w:val="18"/>
                <w:lang w:val="en-US" w:eastAsia="zh-CN" w:bidi="ar"/>
              </w:rPr>
              <w:t>桑拿浴室内的线路应为双重绝缘，不应采用金属外皮的电缆或普通钢管布线。</w:t>
            </w:r>
          </w:p>
        </w:tc>
      </w:tr>
    </w:tbl>
    <w:p w14:paraId="36611D7F">
      <w:pPr>
        <w:pStyle w:val="258"/>
        <w:bidi w:val="0"/>
        <w:rPr>
          <w:rFonts w:hint="eastAsia"/>
          <w:color w:val="auto"/>
          <w:lang w:val="en-US" w:eastAsia="zh-CN"/>
        </w:rPr>
      </w:pPr>
    </w:p>
    <w:p w14:paraId="761CCF2E">
      <w:pPr>
        <w:pStyle w:val="258"/>
        <w:bidi w:val="0"/>
        <w:rPr>
          <w:rFonts w:hint="eastAsia"/>
          <w:color w:val="auto"/>
          <w:lang w:val="en-US" w:eastAsia="zh-CN"/>
        </w:rPr>
        <w:sectPr>
          <w:pgSz w:w="11907" w:h="16839"/>
          <w:pgMar w:top="1418" w:right="1134" w:bottom="1134" w:left="1418" w:header="1418" w:footer="1134" w:gutter="0"/>
          <w:lnNumType w:countBy="0" w:restart="continuous"/>
          <w:pgNumType w:fmt="decimal"/>
          <w:cols w:space="425" w:num="1"/>
          <w:rtlGutter w:val="0"/>
          <w:docGrid w:type="lines" w:linePitch="312" w:charSpace="0"/>
        </w:sectPr>
      </w:pPr>
    </w:p>
    <w:p w14:paraId="67C17D37">
      <w:pPr>
        <w:pStyle w:val="274"/>
        <w:bidi w:val="0"/>
        <w:jc w:val="center"/>
        <w:rPr>
          <w:rFonts w:hint="eastAsia"/>
          <w:color w:val="auto"/>
          <w:lang w:val="en-US" w:eastAsia="zh-CN"/>
        </w:rPr>
      </w:pPr>
      <w:bookmarkStart w:id="673" w:name="标准参考文献"/>
      <w:bookmarkEnd w:id="673"/>
      <w:bookmarkStart w:id="674" w:name="_Toc30483"/>
      <w:bookmarkStart w:id="675" w:name="_Toc8226"/>
      <w:bookmarkStart w:id="676" w:name="_Toc8738"/>
      <w:bookmarkStart w:id="677" w:name="_Toc17927"/>
      <w:bookmarkStart w:id="678" w:name="_Toc25337"/>
      <w:bookmarkStart w:id="679" w:name="_Toc26597"/>
      <w:bookmarkStart w:id="680" w:name="_Toc19914"/>
      <w:bookmarkStart w:id="681" w:name="_Toc25882"/>
      <w:bookmarkStart w:id="682" w:name="_Toc21669"/>
      <w:bookmarkStart w:id="683" w:name="_Toc31962"/>
      <w:bookmarkStart w:id="684" w:name="_Toc11091"/>
      <w:bookmarkStart w:id="685" w:name="_Toc5689"/>
      <w:bookmarkStart w:id="686" w:name="_Toc2948"/>
      <w:bookmarkStart w:id="687" w:name="_Toc23981"/>
      <w:bookmarkStart w:id="688" w:name="_Toc31343"/>
      <w:bookmarkStart w:id="689" w:name="_Toc27316"/>
      <w:bookmarkStart w:id="690" w:name="_Toc14229"/>
      <w:bookmarkStart w:id="691" w:name="_Toc31643"/>
      <w:r>
        <w:rPr>
          <w:rFonts w:hint="eastAsia"/>
          <w:color w:val="auto"/>
          <w:lang w:val="en-US" w:eastAsia="zh-CN"/>
        </w:rPr>
        <w:br w:type="textWrapping"/>
      </w:r>
      <w:r>
        <w:rPr>
          <w:rFonts w:hint="eastAsia"/>
          <w:color w:val="auto"/>
          <w:lang w:val="en-US" w:eastAsia="zh-CN"/>
        </w:rPr>
        <w:t>（资料性）</w:t>
      </w:r>
      <w:r>
        <w:rPr>
          <w:rFonts w:hint="eastAsia"/>
          <w:color w:val="auto"/>
          <w:lang w:val="en-US" w:eastAsia="zh-CN"/>
        </w:rPr>
        <w:br w:type="textWrapping"/>
      </w:r>
      <w:r>
        <w:rPr>
          <w:rFonts w:hint="eastAsia"/>
          <w:color w:val="auto"/>
          <w:lang w:val="en-US" w:eastAsia="zh-CN"/>
        </w:rPr>
        <w:t>检测仪器基本配置</w:t>
      </w:r>
      <w:bookmarkEnd w:id="674"/>
      <w:bookmarkEnd w:id="675"/>
      <w:bookmarkEnd w:id="676"/>
      <w:bookmarkEnd w:id="677"/>
    </w:p>
    <w:p w14:paraId="28F1BD95">
      <w:pPr>
        <w:pStyle w:val="275"/>
        <w:numPr>
          <w:ilvl w:val="1"/>
          <w:numId w:val="0"/>
        </w:numPr>
        <w:bidi w:val="0"/>
        <w:ind w:leftChars="0"/>
        <w:rPr>
          <w:rFonts w:hint="default"/>
          <w:color w:val="auto"/>
          <w:lang w:val="en-US" w:eastAsia="zh-CN"/>
        </w:rPr>
      </w:pPr>
      <w:bookmarkStart w:id="692" w:name="_Toc10327"/>
      <w:bookmarkStart w:id="693" w:name="_Toc22792"/>
      <w:bookmarkStart w:id="694" w:name="_Toc20011"/>
      <w:bookmarkStart w:id="695" w:name="_Toc14062"/>
      <w:bookmarkStart w:id="696" w:name="_Toc2706"/>
      <w:bookmarkStart w:id="697" w:name="_Toc29347"/>
      <w:bookmarkStart w:id="698" w:name="_Toc12349"/>
      <w:bookmarkStart w:id="699" w:name="_Toc2002"/>
      <w:bookmarkStart w:id="700" w:name="_Toc10053"/>
      <w:bookmarkStart w:id="701" w:name="_Toc15504"/>
      <w:r>
        <w:rPr>
          <w:rFonts w:hint="eastAsia"/>
          <w:color w:val="auto"/>
          <w:lang w:val="en-US" w:eastAsia="zh-CN"/>
        </w:rPr>
        <w:t>表E.1  检测仪器基本配置表</w:t>
      </w:r>
      <w:bookmarkEnd w:id="692"/>
      <w:bookmarkEnd w:id="693"/>
      <w:bookmarkEnd w:id="694"/>
      <w:bookmarkEnd w:id="695"/>
      <w:bookmarkEnd w:id="696"/>
      <w:bookmarkEnd w:id="697"/>
      <w:bookmarkEnd w:id="698"/>
      <w:bookmarkEnd w:id="699"/>
      <w:bookmarkEnd w:id="700"/>
      <w:bookmarkEnd w:id="701"/>
    </w:p>
    <w:tbl>
      <w:tblPr>
        <w:tblStyle w:val="88"/>
        <w:tblW w:w="95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1843"/>
        <w:gridCol w:w="2427"/>
        <w:gridCol w:w="4635"/>
      </w:tblGrid>
      <w:tr w14:paraId="6AEB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0D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70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仪器名称</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98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检测项目</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91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主要技术参数</w:t>
            </w:r>
          </w:p>
        </w:tc>
      </w:tr>
      <w:tr w14:paraId="05B89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E3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17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红外测温仪</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EC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温度测量</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37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测温范围：0℃～+150℃</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发射率范围：0.1～1.0</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测温精确度：读数的±1%或±1℃</w:t>
            </w:r>
          </w:p>
        </w:tc>
      </w:tr>
      <w:tr w14:paraId="393EB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37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17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红外热像仪</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578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温度场测量</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1D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测温范围：0℃～+200℃</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测温精确度：读数的±2%或±2℃</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图像存储和回放</w:t>
            </w:r>
          </w:p>
        </w:tc>
      </w:tr>
      <w:tr w14:paraId="57B6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4A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A4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超声波探测仪</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F0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火花和电弧探测</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97FE0F">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频率响应：20kHz～100kHz</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测量精确度：读数的±1%</w:t>
            </w:r>
          </w:p>
        </w:tc>
      </w:tr>
      <w:tr w14:paraId="7CCF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EF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96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普通钳形表</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26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交直流电流、电压测量</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5089C6">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AC/DC电流：0A～200A</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AC/DC电压：0V～600V</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测量精确度：读数的±2%</w:t>
            </w:r>
          </w:p>
        </w:tc>
      </w:tr>
      <w:tr w14:paraId="56D4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F1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25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真有效值钳形表</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22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交直流电流、电压真有效值测量</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66A82">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AC/DC电流：0A～100A</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AC/DC电压：0V～600V</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测量精确度：读数的±2%</w:t>
            </w:r>
          </w:p>
        </w:tc>
      </w:tr>
      <w:tr w14:paraId="73E6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18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18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漏电电流测试仪</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6B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漏电电流测试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CF153E">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量程：0A～1A</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测量精确度：读数的±2.5%</w:t>
            </w:r>
          </w:p>
        </w:tc>
      </w:tr>
      <w:tr w14:paraId="2DD2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2B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69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绝缘电阻测试仪</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73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导线绝缘电阻测量</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13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测量范围：0MΩ～100MΩ  精度±5.0%</w:t>
            </w:r>
          </w:p>
        </w:tc>
      </w:tr>
      <w:tr w14:paraId="2C8E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29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11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钳式接地电阻测试仪</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06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接地电阻测量</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FA5E6D">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测量范围：0.1Ω～200Ω</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精度：±2.5%</w:t>
            </w:r>
          </w:p>
        </w:tc>
      </w:tr>
      <w:tr w14:paraId="7C08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75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F2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低欧姆表</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40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导电连续性测量</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84A1FE">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测量范围：4Ω～24Ω</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精度：±2.5%</w:t>
            </w:r>
          </w:p>
        </w:tc>
      </w:tr>
      <w:tr w14:paraId="2D3A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50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6F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谐波分析仪</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FE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谐波分量测量</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F43C8B">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测量范围：1A～1000A</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测量频率：基波、3、5、7、9次高次谐波</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精度：±10%</w:t>
            </w:r>
          </w:p>
        </w:tc>
      </w:tr>
      <w:tr w14:paraId="28A6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4DA1">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0B67">
            <w:pPr>
              <w:keepNext w:val="0"/>
              <w:keepLines w:val="0"/>
              <w:widowControl/>
              <w:suppressLineNumbers w:val="0"/>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剩余电流发生器</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6756">
            <w:pPr>
              <w:keepNext w:val="0"/>
              <w:keepLines w:val="0"/>
              <w:widowControl/>
              <w:suppressLineNumbers w:val="0"/>
              <w:jc w:val="left"/>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剩余电流保护装置动作特性</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4676">
            <w:pPr>
              <w:keepNext w:val="0"/>
              <w:keepLines w:val="0"/>
              <w:widowControl/>
              <w:suppressLineNumbers w:val="0"/>
              <w:jc w:val="both"/>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工作电压：AC 220V</w:t>
            </w:r>
          </w:p>
          <w:p w14:paraId="47E9A8E9">
            <w:pPr>
              <w:keepNext w:val="0"/>
              <w:keepLines w:val="0"/>
              <w:widowControl/>
              <w:suppressLineNumbers w:val="0"/>
              <w:jc w:val="both"/>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电压频率：50Hz/60Hz</w:t>
            </w:r>
          </w:p>
          <w:p w14:paraId="48E06009">
            <w:pPr>
              <w:keepNext w:val="0"/>
              <w:keepLines w:val="0"/>
              <w:widowControl/>
              <w:suppressLineNumbers w:val="0"/>
              <w:jc w:val="both"/>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输出电流：AC 0.1mA-1000mA</w:t>
            </w:r>
          </w:p>
        </w:tc>
      </w:tr>
    </w:tbl>
    <w:p w14:paraId="257437E0">
      <w:pPr>
        <w:pStyle w:val="258"/>
        <w:bidi w:val="0"/>
        <w:rPr>
          <w:rFonts w:hint="eastAsia"/>
          <w:color w:val="auto"/>
          <w:lang w:val="en-US" w:eastAsia="zh-CN"/>
        </w:rPr>
      </w:pPr>
    </w:p>
    <w:p w14:paraId="0E7D66E9">
      <w:pPr>
        <w:pStyle w:val="258"/>
        <w:bidi w:val="0"/>
        <w:rPr>
          <w:rFonts w:hint="eastAsia"/>
          <w:color w:val="auto"/>
          <w:lang w:val="en-US" w:eastAsia="zh-CN"/>
        </w:rPr>
        <w:sectPr>
          <w:pgSz w:w="11907" w:h="16839"/>
          <w:pgMar w:top="1418" w:right="1134" w:bottom="1134" w:left="1418" w:header="1418" w:footer="1134" w:gutter="0"/>
          <w:lnNumType w:countBy="0" w:restart="continuous"/>
          <w:pgNumType w:fmt="decimal"/>
          <w:cols w:space="425" w:num="1"/>
          <w:rtlGutter w:val="0"/>
          <w:docGrid w:type="lines" w:linePitch="312" w:charSpace="0"/>
        </w:sectPr>
      </w:pPr>
    </w:p>
    <w:p w14:paraId="26CB5209">
      <w:pPr>
        <w:pStyle w:val="347"/>
        <w:bidi w:val="0"/>
        <w:ind w:left="0" w:leftChars="0" w:firstLine="0" w:firstLineChars="0"/>
        <w:rPr>
          <w:rFonts w:hint="eastAsia"/>
          <w:color w:val="auto"/>
          <w:lang w:val="en-US" w:eastAsia="zh-CN"/>
        </w:rPr>
      </w:pPr>
    </w:p>
    <w:p w14:paraId="2581B4D5">
      <w:pPr>
        <w:pStyle w:val="348"/>
        <w:bidi w:val="0"/>
        <w:ind w:left="0" w:leftChars="0" w:firstLine="0" w:firstLineChars="0"/>
        <w:rPr>
          <w:rFonts w:hint="eastAsia"/>
          <w:color w:val="auto"/>
          <w:lang w:val="en-US" w:eastAsia="zh-CN"/>
        </w:rPr>
      </w:pPr>
    </w:p>
    <w:p w14:paraId="74209B4A">
      <w:pPr>
        <w:pStyle w:val="274"/>
        <w:bidi w:val="0"/>
        <w:jc w:val="center"/>
        <w:rPr>
          <w:rFonts w:hint="eastAsia"/>
          <w:color w:val="auto"/>
          <w:lang w:val="en-US" w:eastAsia="zh-CN"/>
        </w:rPr>
      </w:pPr>
      <w:bookmarkStart w:id="702" w:name="_Toc24095"/>
      <w:r>
        <w:rPr>
          <w:rFonts w:hint="eastAsia"/>
          <w:color w:val="auto"/>
          <w:lang w:val="en-US" w:eastAsia="zh-CN"/>
        </w:rPr>
        <w:br w:type="textWrapping"/>
      </w:r>
      <w:r>
        <w:rPr>
          <w:rFonts w:hint="eastAsia"/>
          <w:color w:val="auto"/>
          <w:lang w:val="en-US" w:eastAsia="zh-CN"/>
        </w:rPr>
        <w:t>（资料性）</w:t>
      </w:r>
      <w:r>
        <w:rPr>
          <w:rFonts w:hint="eastAsia"/>
          <w:color w:val="auto"/>
          <w:lang w:val="en-US" w:eastAsia="zh-CN"/>
        </w:rPr>
        <w:br w:type="textWrapping"/>
      </w:r>
      <w:r>
        <w:rPr>
          <w:rFonts w:hint="eastAsia"/>
          <w:color w:val="auto"/>
          <w:lang w:val="en-US" w:eastAsia="zh-CN"/>
        </w:rPr>
        <w:t>检测报告样式</w:t>
      </w:r>
      <w:bookmarkEnd w:id="678"/>
      <w:bookmarkEnd w:id="679"/>
      <w:bookmarkEnd w:id="680"/>
      <w:bookmarkEnd w:id="702"/>
    </w:p>
    <w:p w14:paraId="68A999D7">
      <w:pPr>
        <w:tabs>
          <w:tab w:val="right" w:leader="dot" w:pos="9337"/>
        </w:tabs>
        <w:spacing w:before="156" w:line="226" w:lineRule="auto"/>
        <w:jc w:val="right"/>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报告编号：****-JZDQFHJC-2024***</w:t>
      </w:r>
    </w:p>
    <w:p w14:paraId="6E3AF689">
      <w:pPr>
        <w:tabs>
          <w:tab w:val="right" w:leader="dot" w:pos="9337"/>
        </w:tabs>
        <w:spacing w:before="156" w:line="226" w:lineRule="auto"/>
        <w:jc w:val="right"/>
        <w:rPr>
          <w:rFonts w:hint="eastAsia" w:eastAsia="宋体"/>
          <w:color w:val="auto"/>
          <w:lang w:val="en-US" w:eastAsia="zh-CN"/>
        </w:rPr>
      </w:pPr>
    </w:p>
    <w:p w14:paraId="120D9F68">
      <w:pPr>
        <w:tabs>
          <w:tab w:val="right" w:leader="dot" w:pos="9337"/>
        </w:tabs>
        <w:spacing w:before="156" w:line="226" w:lineRule="auto"/>
        <w:jc w:val="right"/>
        <w:rPr>
          <w:rFonts w:hint="eastAsia" w:eastAsia="宋体"/>
          <w:color w:val="auto"/>
          <w:lang w:val="en-US" w:eastAsia="zh-CN"/>
        </w:rPr>
      </w:pPr>
    </w:p>
    <w:p w14:paraId="04A76081">
      <w:pPr>
        <w:tabs>
          <w:tab w:val="right" w:leader="dot" w:pos="9337"/>
        </w:tabs>
        <w:spacing w:before="156" w:line="226" w:lineRule="auto"/>
        <w:jc w:val="center"/>
        <w:rPr>
          <w:rFonts w:hint="eastAsia" w:ascii="微软雅黑" w:hAnsi="微软雅黑" w:eastAsia="微软雅黑" w:cs="微软雅黑"/>
          <w:b w:val="0"/>
          <w:bCs w:val="0"/>
          <w:snapToGrid/>
          <w:color w:val="auto"/>
          <w:kern w:val="0"/>
          <w:position w:val="-2"/>
          <w:sz w:val="52"/>
          <w:szCs w:val="52"/>
          <w:u w:val="none"/>
          <w:shd w:val="clear" w:color="auto" w:fill="auto"/>
          <w:lang w:val="en-US" w:eastAsia="zh-CN" w:bidi="ar-SA"/>
        </w:rPr>
      </w:pPr>
      <w:r>
        <w:rPr>
          <w:rFonts w:hint="eastAsia" w:ascii="微软雅黑" w:hAnsi="微软雅黑" w:eastAsia="微软雅黑" w:cs="微软雅黑"/>
          <w:b w:val="0"/>
          <w:bCs w:val="0"/>
          <w:snapToGrid/>
          <w:color w:val="auto"/>
          <w:kern w:val="0"/>
          <w:position w:val="-2"/>
          <w:sz w:val="52"/>
          <w:szCs w:val="52"/>
          <w:u w:val="none"/>
          <w:shd w:val="clear" w:color="auto" w:fill="auto"/>
          <w:lang w:val="en-US" w:eastAsia="zh-CN" w:bidi="ar-SA"/>
        </w:rPr>
        <w:t>建 筑 电 气 防 火</w:t>
      </w:r>
    </w:p>
    <w:p w14:paraId="287EE74A">
      <w:pPr>
        <w:tabs>
          <w:tab w:val="right" w:leader="dot" w:pos="9337"/>
        </w:tabs>
        <w:spacing w:before="156" w:line="226" w:lineRule="auto"/>
        <w:jc w:val="center"/>
        <w:rPr>
          <w:rFonts w:hint="eastAsia" w:ascii="微软雅黑" w:hAnsi="微软雅黑" w:eastAsia="微软雅黑" w:cs="微软雅黑"/>
          <w:b/>
          <w:bCs/>
          <w:snapToGrid/>
          <w:color w:val="auto"/>
          <w:kern w:val="0"/>
          <w:position w:val="-2"/>
          <w:sz w:val="44"/>
          <w:szCs w:val="44"/>
          <w:u w:val="none"/>
          <w:shd w:val="clear" w:color="auto" w:fill="auto"/>
          <w:lang w:val="en-US" w:eastAsia="zh-CN" w:bidi="ar-SA"/>
        </w:rPr>
      </w:pPr>
      <w:r>
        <w:rPr>
          <w:rFonts w:hint="eastAsia" w:ascii="黑体" w:hAnsi="黑体" w:eastAsia="黑体" w:cs="黑体"/>
          <w:b w:val="0"/>
          <w:bCs w:val="0"/>
          <w:snapToGrid/>
          <w:color w:val="auto"/>
          <w:kern w:val="0"/>
          <w:position w:val="-2"/>
          <w:sz w:val="52"/>
          <w:szCs w:val="52"/>
          <w:u w:val="none"/>
          <w:shd w:val="clear" w:color="auto" w:fill="auto"/>
          <w:lang w:val="en-US" w:eastAsia="zh-CN" w:bidi="ar-SA"/>
        </w:rPr>
        <w:t>检 测 报 告</w:t>
      </w:r>
    </w:p>
    <w:p w14:paraId="0CB969B5">
      <w:pPr>
        <w:keepNext w:val="0"/>
        <w:keepLines w:val="0"/>
        <w:pageBreakBefore w:val="0"/>
        <w:widowControl/>
        <w:tabs>
          <w:tab w:val="right" w:leader="dot" w:pos="9337"/>
        </w:tabs>
        <w:kinsoku w:val="0"/>
        <w:wordWrap/>
        <w:overflowPunct/>
        <w:topLinePunct w:val="0"/>
        <w:autoSpaceDE w:val="0"/>
        <w:autoSpaceDN w:val="0"/>
        <w:bidi w:val="0"/>
        <w:adjustRightInd w:val="0"/>
        <w:snapToGrid w:val="0"/>
        <w:spacing w:before="156" w:line="192" w:lineRule="auto"/>
        <w:jc w:val="both"/>
        <w:textAlignment w:val="baseline"/>
        <w:rPr>
          <w:rFonts w:hint="eastAsia" w:ascii="微软雅黑" w:hAnsi="微软雅黑" w:eastAsia="微软雅黑" w:cs="微软雅黑"/>
          <w:b/>
          <w:bCs/>
          <w:snapToGrid/>
          <w:color w:val="auto"/>
          <w:kern w:val="0"/>
          <w:position w:val="-2"/>
          <w:sz w:val="44"/>
          <w:szCs w:val="44"/>
          <w:u w:val="none"/>
          <w:shd w:val="clear" w:color="auto" w:fill="auto"/>
          <w:lang w:val="en-US" w:eastAsia="zh-CN" w:bidi="ar-SA"/>
        </w:rPr>
      </w:pPr>
    </w:p>
    <w:p w14:paraId="39600D79">
      <w:pPr>
        <w:keepNext w:val="0"/>
        <w:keepLines w:val="0"/>
        <w:pageBreakBefore w:val="0"/>
        <w:widowControl/>
        <w:tabs>
          <w:tab w:val="right" w:leader="dot" w:pos="9337"/>
        </w:tabs>
        <w:kinsoku w:val="0"/>
        <w:wordWrap/>
        <w:overflowPunct/>
        <w:topLinePunct w:val="0"/>
        <w:autoSpaceDE w:val="0"/>
        <w:autoSpaceDN w:val="0"/>
        <w:bidi w:val="0"/>
        <w:adjustRightInd w:val="0"/>
        <w:snapToGrid w:val="0"/>
        <w:spacing w:before="156" w:line="192" w:lineRule="auto"/>
        <w:jc w:val="center"/>
        <w:textAlignment w:val="baseline"/>
        <w:rPr>
          <w:rFonts w:hint="eastAsia" w:ascii="微软雅黑" w:hAnsi="微软雅黑" w:eastAsia="微软雅黑" w:cs="微软雅黑"/>
          <w:b/>
          <w:bCs/>
          <w:snapToGrid/>
          <w:color w:val="auto"/>
          <w:kern w:val="0"/>
          <w:position w:val="-2"/>
          <w:sz w:val="44"/>
          <w:szCs w:val="44"/>
          <w:u w:val="none"/>
          <w:shd w:val="clear" w:color="auto" w:fill="auto"/>
          <w:lang w:val="en-US" w:eastAsia="zh-CN" w:bidi="ar-SA"/>
        </w:rPr>
      </w:pPr>
    </w:p>
    <w:p w14:paraId="24EB7F8B">
      <w:pPr>
        <w:tabs>
          <w:tab w:val="right" w:leader="dot" w:pos="9337"/>
        </w:tabs>
        <w:spacing w:before="156" w:line="226" w:lineRule="auto"/>
        <w:ind w:firstLine="1600" w:firstLineChars="500"/>
        <w:jc w:val="left"/>
        <w:rPr>
          <w:rFonts w:hint="eastAsia" w:ascii="黑体" w:hAnsi="黑体" w:eastAsia="黑体" w:cs="黑体"/>
          <w:b w:val="0"/>
          <w:bCs w:val="0"/>
          <w:snapToGrid/>
          <w:color w:val="auto"/>
          <w:kern w:val="0"/>
          <w:position w:val="-2"/>
          <w:sz w:val="32"/>
          <w:szCs w:val="32"/>
          <w:u w:val="single"/>
          <w:shd w:val="clear" w:color="auto" w:fill="auto"/>
          <w:lang w:val="en-US" w:eastAsia="zh-CN" w:bidi="ar-SA"/>
        </w:rPr>
      </w:pPr>
      <w:r>
        <w:rPr>
          <w:rFonts w:hint="eastAsia" w:ascii="黑体" w:hAnsi="黑体" w:eastAsia="黑体" w:cs="黑体"/>
          <w:b w:val="0"/>
          <w:bCs w:val="0"/>
          <w:snapToGrid/>
          <w:color w:val="auto"/>
          <w:kern w:val="0"/>
          <w:position w:val="-2"/>
          <w:sz w:val="32"/>
          <w:szCs w:val="32"/>
          <w:u w:val="none"/>
          <w:shd w:val="clear" w:color="auto" w:fill="auto"/>
          <w:lang w:val="en-US" w:eastAsia="zh-CN" w:bidi="ar-SA"/>
        </w:rPr>
        <w:t>项目名称：</w:t>
      </w:r>
      <w:r>
        <w:rPr>
          <w:rFonts w:hint="eastAsia" w:ascii="黑体" w:hAnsi="黑体" w:eastAsia="黑体" w:cs="黑体"/>
          <w:b w:val="0"/>
          <w:bCs w:val="0"/>
          <w:snapToGrid/>
          <w:color w:val="auto"/>
          <w:kern w:val="0"/>
          <w:position w:val="-2"/>
          <w:sz w:val="32"/>
          <w:szCs w:val="32"/>
          <w:u w:val="single"/>
          <w:shd w:val="clear" w:color="auto" w:fill="auto"/>
          <w:lang w:val="en-US" w:eastAsia="zh-CN" w:bidi="ar-SA"/>
        </w:rPr>
        <w:t xml:space="preserve">                            </w:t>
      </w:r>
    </w:p>
    <w:p w14:paraId="42A351D9">
      <w:pPr>
        <w:tabs>
          <w:tab w:val="right" w:leader="dot" w:pos="9337"/>
        </w:tabs>
        <w:spacing w:before="156" w:line="226" w:lineRule="auto"/>
        <w:ind w:firstLine="1600" w:firstLineChars="500"/>
        <w:jc w:val="left"/>
        <w:rPr>
          <w:rFonts w:hint="eastAsia" w:ascii="黑体" w:hAnsi="黑体" w:eastAsia="黑体" w:cs="黑体"/>
          <w:b w:val="0"/>
          <w:bCs w:val="0"/>
          <w:snapToGrid/>
          <w:color w:val="auto"/>
          <w:kern w:val="0"/>
          <w:position w:val="-2"/>
          <w:sz w:val="32"/>
          <w:szCs w:val="32"/>
          <w:u w:val="single"/>
          <w:shd w:val="clear" w:color="auto" w:fill="auto"/>
          <w:lang w:val="en-US" w:eastAsia="zh-CN" w:bidi="ar-SA"/>
        </w:rPr>
      </w:pPr>
      <w:r>
        <w:rPr>
          <w:rFonts w:hint="eastAsia" w:ascii="黑体" w:hAnsi="黑体" w:eastAsia="黑体" w:cs="黑体"/>
          <w:b w:val="0"/>
          <w:bCs w:val="0"/>
          <w:snapToGrid/>
          <w:color w:val="auto"/>
          <w:kern w:val="0"/>
          <w:position w:val="-2"/>
          <w:sz w:val="32"/>
          <w:szCs w:val="32"/>
          <w:u w:val="none"/>
          <w:shd w:val="clear" w:color="auto" w:fill="auto"/>
          <w:lang w:val="en-US" w:eastAsia="zh-CN" w:bidi="ar-SA"/>
        </w:rPr>
        <w:t>项目地址：</w:t>
      </w:r>
      <w:r>
        <w:rPr>
          <w:rFonts w:hint="eastAsia" w:ascii="黑体" w:hAnsi="黑体" w:eastAsia="黑体" w:cs="黑体"/>
          <w:b w:val="0"/>
          <w:bCs w:val="0"/>
          <w:snapToGrid/>
          <w:color w:val="auto"/>
          <w:kern w:val="0"/>
          <w:position w:val="-2"/>
          <w:sz w:val="32"/>
          <w:szCs w:val="32"/>
          <w:u w:val="single"/>
          <w:shd w:val="clear" w:color="auto" w:fill="auto"/>
          <w:lang w:val="en-US" w:eastAsia="zh-CN" w:bidi="ar-SA"/>
        </w:rPr>
        <w:t xml:space="preserve">                            </w:t>
      </w:r>
    </w:p>
    <w:p w14:paraId="27EF9B51">
      <w:pPr>
        <w:tabs>
          <w:tab w:val="right" w:leader="dot" w:pos="9337"/>
        </w:tabs>
        <w:spacing w:before="156" w:line="226" w:lineRule="auto"/>
        <w:ind w:firstLine="1600" w:firstLineChars="500"/>
        <w:jc w:val="left"/>
        <w:rPr>
          <w:rFonts w:hint="eastAsia" w:ascii="黑体" w:hAnsi="黑体" w:eastAsia="黑体" w:cs="黑体"/>
          <w:b w:val="0"/>
          <w:bCs w:val="0"/>
          <w:snapToGrid/>
          <w:color w:val="auto"/>
          <w:kern w:val="0"/>
          <w:position w:val="-2"/>
          <w:sz w:val="32"/>
          <w:szCs w:val="32"/>
          <w:u w:val="single"/>
          <w:shd w:val="clear" w:color="auto" w:fill="auto"/>
          <w:lang w:val="en-US" w:eastAsia="zh-CN" w:bidi="ar-SA"/>
        </w:rPr>
      </w:pPr>
      <w:r>
        <w:rPr>
          <w:rFonts w:hint="eastAsia" w:ascii="黑体" w:hAnsi="黑体" w:eastAsia="黑体" w:cs="黑体"/>
          <w:b w:val="0"/>
          <w:bCs w:val="0"/>
          <w:snapToGrid/>
          <w:color w:val="auto"/>
          <w:kern w:val="0"/>
          <w:position w:val="-2"/>
          <w:sz w:val="32"/>
          <w:szCs w:val="32"/>
          <w:u w:val="none"/>
          <w:shd w:val="clear" w:color="auto" w:fill="auto"/>
          <w:lang w:val="en-US" w:eastAsia="zh-CN" w:bidi="ar-SA"/>
        </w:rPr>
        <w:t>委托单位：</w:t>
      </w:r>
      <w:r>
        <w:rPr>
          <w:rFonts w:hint="eastAsia" w:ascii="黑体" w:hAnsi="黑体" w:eastAsia="黑体" w:cs="黑体"/>
          <w:b w:val="0"/>
          <w:bCs w:val="0"/>
          <w:snapToGrid/>
          <w:color w:val="auto"/>
          <w:kern w:val="0"/>
          <w:position w:val="-2"/>
          <w:sz w:val="32"/>
          <w:szCs w:val="32"/>
          <w:u w:val="single"/>
          <w:shd w:val="clear" w:color="auto" w:fill="auto"/>
          <w:lang w:val="en-US" w:eastAsia="zh-CN" w:bidi="ar-SA"/>
        </w:rPr>
        <w:t xml:space="preserve">                            </w:t>
      </w:r>
    </w:p>
    <w:p w14:paraId="60A3A758">
      <w:pPr>
        <w:tabs>
          <w:tab w:val="right" w:leader="dot" w:pos="9337"/>
        </w:tabs>
        <w:spacing w:before="156" w:line="226" w:lineRule="auto"/>
        <w:ind w:firstLine="1600" w:firstLineChars="500"/>
        <w:jc w:val="left"/>
        <w:rPr>
          <w:rFonts w:hint="eastAsia" w:ascii="黑体" w:hAnsi="黑体" w:eastAsia="黑体" w:cs="黑体"/>
          <w:b w:val="0"/>
          <w:bCs w:val="0"/>
          <w:snapToGrid/>
          <w:color w:val="auto"/>
          <w:kern w:val="0"/>
          <w:position w:val="-2"/>
          <w:sz w:val="32"/>
          <w:szCs w:val="32"/>
          <w:u w:val="single"/>
          <w:shd w:val="clear" w:color="auto" w:fill="auto"/>
          <w:lang w:val="en-US" w:eastAsia="zh-CN" w:bidi="ar-SA"/>
        </w:rPr>
      </w:pPr>
      <w:r>
        <w:rPr>
          <w:rFonts w:hint="eastAsia" w:ascii="黑体" w:hAnsi="黑体" w:eastAsia="黑体" w:cs="黑体"/>
          <w:b w:val="0"/>
          <w:bCs w:val="0"/>
          <w:snapToGrid/>
          <w:color w:val="auto"/>
          <w:kern w:val="0"/>
          <w:position w:val="-2"/>
          <w:sz w:val="32"/>
          <w:szCs w:val="32"/>
          <w:u w:val="none"/>
          <w:shd w:val="clear" w:color="auto" w:fill="auto"/>
          <w:lang w:val="en-US" w:eastAsia="zh-CN" w:bidi="ar-SA"/>
        </w:rPr>
        <w:t>管理单位：</w:t>
      </w:r>
      <w:r>
        <w:rPr>
          <w:rFonts w:hint="eastAsia" w:ascii="黑体" w:hAnsi="黑体" w:eastAsia="黑体" w:cs="黑体"/>
          <w:b w:val="0"/>
          <w:bCs w:val="0"/>
          <w:snapToGrid/>
          <w:color w:val="auto"/>
          <w:kern w:val="0"/>
          <w:position w:val="-2"/>
          <w:sz w:val="32"/>
          <w:szCs w:val="32"/>
          <w:u w:val="single"/>
          <w:shd w:val="clear" w:color="auto" w:fill="auto"/>
          <w:lang w:val="en-US" w:eastAsia="zh-CN" w:bidi="ar-SA"/>
        </w:rPr>
        <w:t xml:space="preserve">                            </w:t>
      </w:r>
    </w:p>
    <w:p w14:paraId="4D5D49E1">
      <w:pPr>
        <w:tabs>
          <w:tab w:val="right" w:leader="dot" w:pos="9337"/>
        </w:tabs>
        <w:spacing w:before="156" w:line="226" w:lineRule="auto"/>
        <w:ind w:firstLine="1600" w:firstLineChars="500"/>
        <w:jc w:val="left"/>
        <w:rPr>
          <w:rFonts w:hint="eastAsia" w:ascii="黑体" w:hAnsi="黑体" w:eastAsia="黑体" w:cs="黑体"/>
          <w:b w:val="0"/>
          <w:bCs w:val="0"/>
          <w:snapToGrid/>
          <w:color w:val="auto"/>
          <w:kern w:val="0"/>
          <w:position w:val="-2"/>
          <w:sz w:val="32"/>
          <w:szCs w:val="32"/>
          <w:u w:val="single"/>
          <w:shd w:val="clear" w:color="auto" w:fill="auto"/>
          <w:lang w:val="en-US" w:eastAsia="zh-CN" w:bidi="ar-SA"/>
        </w:rPr>
      </w:pPr>
      <w:r>
        <w:rPr>
          <w:rFonts w:hint="eastAsia" w:ascii="黑体" w:hAnsi="黑体" w:eastAsia="黑体" w:cs="黑体"/>
          <w:b w:val="0"/>
          <w:bCs w:val="0"/>
          <w:snapToGrid/>
          <w:color w:val="auto"/>
          <w:kern w:val="0"/>
          <w:position w:val="-2"/>
          <w:sz w:val="32"/>
          <w:szCs w:val="32"/>
          <w:u w:val="none"/>
          <w:shd w:val="clear" w:color="auto" w:fill="auto"/>
          <w:lang w:val="en-US" w:eastAsia="zh-CN" w:bidi="ar-SA"/>
        </w:rPr>
        <w:t>检测类别：</w:t>
      </w:r>
      <w:r>
        <w:rPr>
          <w:rFonts w:hint="eastAsia" w:ascii="黑体" w:hAnsi="黑体" w:eastAsia="黑体" w:cs="黑体"/>
          <w:b w:val="0"/>
          <w:bCs w:val="0"/>
          <w:snapToGrid/>
          <w:color w:val="auto"/>
          <w:kern w:val="0"/>
          <w:position w:val="-2"/>
          <w:sz w:val="32"/>
          <w:szCs w:val="32"/>
          <w:u w:val="single"/>
          <w:shd w:val="clear" w:color="auto" w:fill="auto"/>
          <w:lang w:val="en-US" w:eastAsia="zh-CN" w:bidi="ar-SA"/>
        </w:rPr>
        <w:t xml:space="preserve">                            </w:t>
      </w:r>
    </w:p>
    <w:p w14:paraId="03C5BFF6">
      <w:pPr>
        <w:tabs>
          <w:tab w:val="right" w:leader="dot" w:pos="9337"/>
        </w:tabs>
        <w:spacing w:before="156" w:line="226" w:lineRule="auto"/>
        <w:ind w:firstLine="3360" w:firstLineChars="1200"/>
        <w:jc w:val="left"/>
        <w:rPr>
          <w:rFonts w:hint="eastAsia" w:ascii="黑体" w:hAnsi="黑体" w:eastAsia="黑体" w:cs="黑体"/>
          <w:b w:val="0"/>
          <w:bCs w:val="0"/>
          <w:snapToGrid/>
          <w:color w:val="auto"/>
          <w:kern w:val="0"/>
          <w:position w:val="-2"/>
          <w:sz w:val="28"/>
          <w:szCs w:val="28"/>
          <w:u w:val="single"/>
          <w:shd w:val="clear" w:color="auto" w:fill="auto"/>
          <w:lang w:val="en-US" w:eastAsia="zh-CN" w:bidi="ar-SA"/>
        </w:rPr>
      </w:pPr>
    </w:p>
    <w:p w14:paraId="4BED1500">
      <w:pPr>
        <w:keepNext w:val="0"/>
        <w:keepLines w:val="0"/>
        <w:pageBreakBefore w:val="0"/>
        <w:widowControl w:val="0"/>
        <w:tabs>
          <w:tab w:val="right" w:leader="dot" w:pos="9337"/>
        </w:tabs>
        <w:kinsoku/>
        <w:wordWrap/>
        <w:overflowPunct/>
        <w:topLinePunct w:val="0"/>
        <w:autoSpaceDE/>
        <w:autoSpaceDN/>
        <w:bidi w:val="0"/>
        <w:adjustRightInd/>
        <w:snapToGrid/>
        <w:spacing w:before="156" w:line="226" w:lineRule="auto"/>
        <w:ind w:firstLine="0" w:firstLineChars="0"/>
        <w:jc w:val="center"/>
        <w:textAlignment w:val="auto"/>
        <w:rPr>
          <w:rFonts w:hint="default" w:ascii="微软雅黑" w:hAnsi="微软雅黑" w:eastAsia="微软雅黑" w:cs="微软雅黑"/>
          <w:b w:val="0"/>
          <w:bCs w:val="0"/>
          <w:snapToGrid/>
          <w:color w:val="auto"/>
          <w:kern w:val="0"/>
          <w:position w:val="-2"/>
          <w:sz w:val="32"/>
          <w:szCs w:val="32"/>
          <w:u w:val="none"/>
          <w:shd w:val="clear" w:color="auto" w:fill="auto"/>
          <w:lang w:val="en-US" w:eastAsia="zh-CN" w:bidi="ar-SA"/>
        </w:rPr>
      </w:pPr>
      <w:r>
        <w:rPr>
          <w:rFonts w:hint="eastAsia" w:ascii="黑体" w:hAnsi="黑体" w:eastAsia="黑体" w:cs="黑体"/>
          <w:b w:val="0"/>
          <w:bCs w:val="0"/>
          <w:snapToGrid/>
          <w:color w:val="auto"/>
          <w:kern w:val="0"/>
          <w:position w:val="-2"/>
          <w:sz w:val="28"/>
          <w:szCs w:val="28"/>
          <w:u w:val="none"/>
          <w:shd w:val="clear" w:color="auto" w:fill="auto"/>
          <w:lang w:val="en-US" w:eastAsia="zh-CN" w:bidi="ar-SA"/>
        </w:rPr>
        <w:t>XX公司</w:t>
      </w:r>
    </w:p>
    <w:p w14:paraId="33820271">
      <w:pPr>
        <w:keepNext w:val="0"/>
        <w:keepLines w:val="0"/>
        <w:pageBreakBefore w:val="0"/>
        <w:widowControl w:val="0"/>
        <w:tabs>
          <w:tab w:val="right" w:leader="dot" w:pos="9337"/>
        </w:tabs>
        <w:kinsoku/>
        <w:wordWrap/>
        <w:overflowPunct/>
        <w:topLinePunct w:val="0"/>
        <w:autoSpaceDE/>
        <w:autoSpaceDN/>
        <w:bidi w:val="0"/>
        <w:adjustRightInd/>
        <w:snapToGrid/>
        <w:spacing w:before="156" w:line="226" w:lineRule="auto"/>
        <w:ind w:firstLine="0" w:firstLineChars="0"/>
        <w:jc w:val="center"/>
        <w:textAlignment w:val="auto"/>
        <w:rPr>
          <w:rFonts w:hint="eastAsia" w:ascii="黑体" w:hAnsi="黑体" w:eastAsia="黑体" w:cs="黑体"/>
          <w:b/>
          <w:color w:val="auto"/>
          <w:sz w:val="32"/>
          <w:szCs w:val="32"/>
          <w:lang w:val="en-US" w:eastAsia="zh-CN"/>
        </w:rPr>
      </w:pPr>
      <w:r>
        <w:rPr>
          <w:rFonts w:hint="eastAsia" w:ascii="黑体" w:hAnsi="黑体" w:eastAsia="黑体" w:cs="黑体"/>
          <w:b w:val="0"/>
          <w:bCs w:val="0"/>
          <w:snapToGrid/>
          <w:color w:val="auto"/>
          <w:kern w:val="0"/>
          <w:position w:val="-2"/>
          <w:sz w:val="28"/>
          <w:szCs w:val="28"/>
          <w:u w:val="single"/>
          <w:shd w:val="clear" w:color="auto" w:fill="auto"/>
          <w:lang w:val="en-US" w:eastAsia="zh-CN" w:bidi="ar-SA"/>
        </w:rPr>
        <w:t xml:space="preserve">     </w:t>
      </w:r>
      <w:r>
        <w:rPr>
          <w:rFonts w:hint="eastAsia" w:ascii="黑体" w:hAnsi="黑体" w:eastAsia="黑体" w:cs="黑体"/>
          <w:b w:val="0"/>
          <w:bCs w:val="0"/>
          <w:snapToGrid/>
          <w:color w:val="auto"/>
          <w:kern w:val="0"/>
          <w:position w:val="-2"/>
          <w:sz w:val="28"/>
          <w:szCs w:val="28"/>
          <w:u w:val="none"/>
          <w:shd w:val="clear" w:color="auto" w:fill="auto"/>
          <w:lang w:val="en-US" w:eastAsia="zh-CN" w:bidi="ar-SA"/>
        </w:rPr>
        <w:t>年</w:t>
      </w:r>
      <w:r>
        <w:rPr>
          <w:rFonts w:hint="eastAsia" w:ascii="黑体" w:hAnsi="黑体" w:eastAsia="黑体" w:cs="黑体"/>
          <w:b w:val="0"/>
          <w:bCs w:val="0"/>
          <w:snapToGrid/>
          <w:color w:val="auto"/>
          <w:kern w:val="0"/>
          <w:position w:val="-2"/>
          <w:sz w:val="28"/>
          <w:szCs w:val="28"/>
          <w:u w:val="single"/>
          <w:shd w:val="clear" w:color="auto" w:fill="auto"/>
          <w:lang w:val="en-US" w:eastAsia="zh-CN" w:bidi="ar-SA"/>
        </w:rPr>
        <w:t xml:space="preserve">     </w:t>
      </w:r>
      <w:r>
        <w:rPr>
          <w:rFonts w:hint="eastAsia" w:ascii="黑体" w:hAnsi="黑体" w:eastAsia="黑体" w:cs="黑体"/>
          <w:b w:val="0"/>
          <w:bCs w:val="0"/>
          <w:snapToGrid/>
          <w:color w:val="auto"/>
          <w:kern w:val="0"/>
          <w:position w:val="-2"/>
          <w:sz w:val="28"/>
          <w:szCs w:val="28"/>
          <w:u w:val="none"/>
          <w:shd w:val="clear" w:color="auto" w:fill="auto"/>
          <w:lang w:val="en-US" w:eastAsia="zh-CN" w:bidi="ar-SA"/>
        </w:rPr>
        <w:t>月</w:t>
      </w:r>
      <w:r>
        <w:rPr>
          <w:rFonts w:hint="eastAsia" w:ascii="黑体" w:hAnsi="黑体" w:eastAsia="黑体" w:cs="黑体"/>
          <w:b w:val="0"/>
          <w:bCs w:val="0"/>
          <w:snapToGrid/>
          <w:color w:val="auto"/>
          <w:kern w:val="0"/>
          <w:position w:val="-2"/>
          <w:sz w:val="28"/>
          <w:szCs w:val="28"/>
          <w:u w:val="single"/>
          <w:shd w:val="clear" w:color="auto" w:fill="auto"/>
          <w:lang w:val="en-US" w:eastAsia="zh-CN" w:bidi="ar-SA"/>
        </w:rPr>
        <w:t xml:space="preserve">     </w:t>
      </w:r>
      <w:r>
        <w:rPr>
          <w:rFonts w:hint="eastAsia" w:ascii="黑体" w:hAnsi="黑体" w:eastAsia="黑体" w:cs="黑体"/>
          <w:b w:val="0"/>
          <w:bCs w:val="0"/>
          <w:snapToGrid/>
          <w:color w:val="auto"/>
          <w:kern w:val="0"/>
          <w:position w:val="-2"/>
          <w:sz w:val="28"/>
          <w:szCs w:val="28"/>
          <w:u w:val="none"/>
          <w:shd w:val="clear" w:color="auto" w:fill="auto"/>
          <w:lang w:val="en-US" w:eastAsia="zh-CN" w:bidi="ar-SA"/>
        </w:rPr>
        <w:t>日</w:t>
      </w:r>
    </w:p>
    <w:p w14:paraId="252D6C27">
      <w:pPr>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br w:type="page"/>
      </w:r>
    </w:p>
    <w:p w14:paraId="60680A3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color w:val="auto"/>
          <w:sz w:val="32"/>
          <w:szCs w:val="32"/>
          <w:lang w:eastAsia="zh-CN"/>
        </w:rPr>
      </w:pPr>
      <w:r>
        <w:rPr>
          <w:rFonts w:hint="eastAsia" w:ascii="黑体" w:hAnsi="黑体" w:eastAsia="黑体" w:cs="黑体"/>
          <w:b/>
          <w:color w:val="auto"/>
          <w:sz w:val="32"/>
          <w:szCs w:val="32"/>
          <w:lang w:val="en-US" w:eastAsia="zh-CN"/>
        </w:rPr>
        <w:t>说     明</w:t>
      </w:r>
    </w:p>
    <w:p w14:paraId="437A118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36"/>
          <w:szCs w:val="36"/>
        </w:rPr>
      </w:pPr>
    </w:p>
    <w:p w14:paraId="31BC057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36"/>
          <w:szCs w:val="36"/>
        </w:rPr>
      </w:pPr>
    </w:p>
    <w:p w14:paraId="27D8DF8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8" w:lineRule="auto"/>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1、本</w:t>
      </w:r>
      <w:r>
        <w:rPr>
          <w:rFonts w:hint="eastAsia" w:asciiTheme="minorEastAsia" w:hAnsiTheme="minorEastAsia" w:eastAsiaTheme="minorEastAsia" w:cstheme="minorEastAsia"/>
          <w:color w:val="auto"/>
          <w:sz w:val="21"/>
          <w:szCs w:val="21"/>
        </w:rPr>
        <w:t>报告</w:t>
      </w:r>
      <w:r>
        <w:rPr>
          <w:rFonts w:hint="eastAsia" w:asciiTheme="minorEastAsia" w:hAnsiTheme="minorEastAsia" w:eastAsiaTheme="minorEastAsia" w:cstheme="minorEastAsia"/>
          <w:color w:val="auto"/>
          <w:sz w:val="21"/>
          <w:szCs w:val="21"/>
          <w:lang w:val="en-US" w:eastAsia="zh-CN"/>
        </w:rPr>
        <w:t>未加盖检测机构公章及骑缝章的无效。</w:t>
      </w:r>
    </w:p>
    <w:p w14:paraId="40A7AA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8" w:lineRule="auto"/>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2、复制本</w:t>
      </w:r>
      <w:r>
        <w:rPr>
          <w:rFonts w:hint="eastAsia" w:asciiTheme="minorEastAsia" w:hAnsiTheme="minorEastAsia" w:eastAsiaTheme="minorEastAsia" w:cstheme="minorEastAsia"/>
          <w:color w:val="auto"/>
          <w:sz w:val="21"/>
          <w:szCs w:val="21"/>
        </w:rPr>
        <w:t>报告</w:t>
      </w:r>
      <w:r>
        <w:rPr>
          <w:rFonts w:hint="eastAsia" w:asciiTheme="minorEastAsia" w:hAnsiTheme="minorEastAsia" w:eastAsiaTheme="minorEastAsia" w:cstheme="minorEastAsia"/>
          <w:color w:val="auto"/>
          <w:sz w:val="21"/>
          <w:szCs w:val="21"/>
          <w:lang w:val="en-US" w:eastAsia="zh-CN"/>
        </w:rPr>
        <w:t>未加盖检测机构公章的无效</w:t>
      </w:r>
      <w:r>
        <w:rPr>
          <w:rFonts w:hint="eastAsia" w:asciiTheme="minorEastAsia" w:hAnsiTheme="minorEastAsia" w:eastAsiaTheme="minorEastAsia" w:cstheme="minorEastAsia"/>
          <w:color w:val="auto"/>
          <w:sz w:val="21"/>
          <w:szCs w:val="21"/>
        </w:rPr>
        <w:t>。</w:t>
      </w:r>
    </w:p>
    <w:p w14:paraId="6F4B5860">
      <w:pPr>
        <w:keepNext w:val="0"/>
        <w:keepLines w:val="0"/>
        <w:pageBreakBefore w:val="0"/>
        <w:widowControl/>
        <w:kinsoku w:val="0"/>
        <w:wordWrap/>
        <w:overflowPunct/>
        <w:topLinePunct w:val="0"/>
        <w:autoSpaceDE w:val="0"/>
        <w:autoSpaceDN w:val="0"/>
        <w:bidi w:val="0"/>
        <w:adjustRightInd w:val="0"/>
        <w:snapToGrid w:val="0"/>
        <w:spacing w:line="408" w:lineRule="auto"/>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本报告无检测人员、项目负责人签名的无效。</w:t>
      </w:r>
    </w:p>
    <w:p w14:paraId="193E8C90">
      <w:pPr>
        <w:keepNext w:val="0"/>
        <w:keepLines w:val="0"/>
        <w:pageBreakBefore w:val="0"/>
        <w:widowControl/>
        <w:kinsoku w:val="0"/>
        <w:wordWrap/>
        <w:overflowPunct/>
        <w:topLinePunct w:val="0"/>
        <w:autoSpaceDE w:val="0"/>
        <w:autoSpaceDN w:val="0"/>
        <w:bidi w:val="0"/>
        <w:adjustRightInd w:val="0"/>
        <w:snapToGrid w:val="0"/>
        <w:spacing w:line="408" w:lineRule="auto"/>
        <w:ind w:left="300" w:hanging="210" w:hangingChars="100"/>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本</w:t>
      </w:r>
      <w:r>
        <w:rPr>
          <w:rFonts w:hint="eastAsia" w:asciiTheme="minorEastAsia" w:hAnsiTheme="minorEastAsia" w:eastAsiaTheme="minorEastAsia" w:cstheme="minorEastAsia"/>
          <w:color w:val="auto"/>
          <w:sz w:val="21"/>
          <w:szCs w:val="21"/>
        </w:rPr>
        <w:t>报告如有异议，应于收到报告之日起十五日内向</w:t>
      </w:r>
      <w:r>
        <w:rPr>
          <w:rFonts w:hint="eastAsia" w:asciiTheme="minorEastAsia" w:hAnsiTheme="minorEastAsia" w:eastAsiaTheme="minorEastAsia" w:cstheme="minorEastAsia"/>
          <w:color w:val="auto"/>
          <w:sz w:val="21"/>
          <w:szCs w:val="21"/>
          <w:lang w:val="en-US" w:eastAsia="zh-CN"/>
        </w:rPr>
        <w:t>检测机构</w:t>
      </w:r>
      <w:r>
        <w:rPr>
          <w:rFonts w:hint="eastAsia" w:asciiTheme="minorEastAsia" w:hAnsiTheme="minorEastAsia" w:eastAsiaTheme="minorEastAsia" w:cstheme="minorEastAsia"/>
          <w:color w:val="auto"/>
          <w:sz w:val="21"/>
          <w:szCs w:val="21"/>
        </w:rPr>
        <w:t>提出，逾期未提出异议的，视为无异议。</w:t>
      </w:r>
    </w:p>
    <w:p w14:paraId="478B280A">
      <w:pPr>
        <w:keepNext w:val="0"/>
        <w:keepLines w:val="0"/>
        <w:pageBreakBefore w:val="0"/>
        <w:widowControl/>
        <w:kinsoku w:val="0"/>
        <w:wordWrap/>
        <w:overflowPunct/>
        <w:topLinePunct w:val="0"/>
        <w:autoSpaceDE w:val="0"/>
        <w:autoSpaceDN w:val="0"/>
        <w:bidi w:val="0"/>
        <w:adjustRightInd w:val="0"/>
        <w:snapToGrid w:val="0"/>
        <w:spacing w:line="408" w:lineRule="auto"/>
        <w:ind w:left="300" w:hanging="210" w:hangingChars="100"/>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本</w:t>
      </w:r>
      <w:r>
        <w:rPr>
          <w:rFonts w:hint="eastAsia" w:asciiTheme="minorEastAsia" w:hAnsiTheme="minorEastAsia" w:eastAsiaTheme="minorEastAsia" w:cstheme="minorEastAsia"/>
          <w:color w:val="auto"/>
          <w:sz w:val="21"/>
          <w:szCs w:val="21"/>
        </w:rPr>
        <w:t>报告</w:t>
      </w:r>
      <w:r>
        <w:rPr>
          <w:rFonts w:hint="eastAsia" w:asciiTheme="minorEastAsia" w:hAnsiTheme="minorEastAsia" w:eastAsiaTheme="minorEastAsia" w:cstheme="minorEastAsia"/>
          <w:color w:val="auto"/>
          <w:sz w:val="21"/>
          <w:szCs w:val="21"/>
          <w:lang w:val="en-US" w:eastAsia="zh-CN"/>
        </w:rPr>
        <w:t>是依据实施检测时现场电气状况出具，并仅对实施</w:t>
      </w:r>
      <w:r>
        <w:rPr>
          <w:rFonts w:hint="eastAsia" w:asciiTheme="minorEastAsia" w:hAnsiTheme="minorEastAsia" w:eastAsiaTheme="minorEastAsia" w:cstheme="minorEastAsia"/>
          <w:color w:val="auto"/>
          <w:sz w:val="21"/>
          <w:szCs w:val="21"/>
        </w:rPr>
        <w:t>检测</w:t>
      </w:r>
      <w:r>
        <w:rPr>
          <w:rFonts w:hint="eastAsia" w:asciiTheme="minorEastAsia" w:hAnsiTheme="minorEastAsia" w:eastAsiaTheme="minorEastAsia" w:cstheme="minorEastAsia"/>
          <w:color w:val="auto"/>
          <w:sz w:val="21"/>
          <w:szCs w:val="21"/>
          <w:lang w:val="en-US" w:eastAsia="zh-CN"/>
        </w:rPr>
        <w:t>时的状况</w:t>
      </w:r>
      <w:r>
        <w:rPr>
          <w:rFonts w:hint="eastAsia" w:asciiTheme="minorEastAsia" w:hAnsiTheme="minorEastAsia" w:eastAsiaTheme="minorEastAsia" w:cstheme="minorEastAsia"/>
          <w:color w:val="auto"/>
          <w:sz w:val="21"/>
          <w:szCs w:val="21"/>
        </w:rPr>
        <w:t>负责。</w:t>
      </w:r>
    </w:p>
    <w:p w14:paraId="0A62F8F1">
      <w:pPr>
        <w:keepNext w:val="0"/>
        <w:keepLines w:val="0"/>
        <w:pageBreakBefore w:val="0"/>
        <w:widowControl/>
        <w:kinsoku w:val="0"/>
        <w:wordWrap/>
        <w:overflowPunct/>
        <w:topLinePunct w:val="0"/>
        <w:autoSpaceDE w:val="0"/>
        <w:autoSpaceDN w:val="0"/>
        <w:bidi w:val="0"/>
        <w:adjustRightInd w:val="0"/>
        <w:snapToGrid w:val="0"/>
        <w:spacing w:line="408" w:lineRule="auto"/>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6、对本报告中的符合项应按规定持续维护保养，不符合项应及时整改。</w:t>
      </w:r>
    </w:p>
    <w:p w14:paraId="32E87268">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eastAsia="宋体"/>
          <w:color w:val="auto"/>
          <w:sz w:val="30"/>
          <w:szCs w:val="30"/>
          <w:lang w:val="en-US" w:eastAsia="zh-CN"/>
        </w:rPr>
      </w:pPr>
    </w:p>
    <w:p w14:paraId="60114FC6">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eastAsia="宋体"/>
          <w:color w:val="auto"/>
          <w:sz w:val="30"/>
          <w:szCs w:val="30"/>
          <w:lang w:val="en-US" w:eastAsia="zh-CN"/>
        </w:rPr>
      </w:pPr>
    </w:p>
    <w:p w14:paraId="0D39A5E2">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eastAsia="宋体"/>
          <w:color w:val="auto"/>
          <w:sz w:val="30"/>
          <w:szCs w:val="30"/>
          <w:lang w:val="en-US" w:eastAsia="zh-CN"/>
        </w:rPr>
      </w:pPr>
    </w:p>
    <w:p w14:paraId="40C9B003">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eastAsia="宋体"/>
          <w:color w:val="auto"/>
          <w:sz w:val="30"/>
          <w:szCs w:val="30"/>
          <w:lang w:val="en-US" w:eastAsia="zh-CN"/>
        </w:rPr>
      </w:pPr>
    </w:p>
    <w:p w14:paraId="0A3FB826">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eastAsia="宋体"/>
          <w:color w:val="auto"/>
          <w:sz w:val="30"/>
          <w:szCs w:val="30"/>
          <w:lang w:val="en-US" w:eastAsia="zh-CN"/>
        </w:rPr>
      </w:pPr>
    </w:p>
    <w:p w14:paraId="47F806F2">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eastAsia="宋体"/>
          <w:color w:val="auto"/>
          <w:sz w:val="30"/>
          <w:szCs w:val="30"/>
          <w:lang w:val="en-US" w:eastAsia="zh-CN"/>
        </w:rPr>
      </w:pPr>
    </w:p>
    <w:p w14:paraId="5A7E9CDB">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eastAsia="宋体"/>
          <w:color w:val="auto"/>
          <w:sz w:val="30"/>
          <w:szCs w:val="30"/>
          <w:lang w:val="en-US" w:eastAsia="zh-CN"/>
        </w:rPr>
      </w:pPr>
    </w:p>
    <w:p w14:paraId="70D671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color w:val="auto"/>
          <w:sz w:val="21"/>
          <w:szCs w:val="21"/>
          <w:u w:val="single"/>
          <w:lang w:val="en-US" w:eastAsia="zh-CN"/>
        </w:rPr>
      </w:pPr>
      <w:r>
        <w:rPr>
          <w:rFonts w:hint="eastAsia" w:eastAsia="宋体"/>
          <w:color w:val="auto"/>
          <w:sz w:val="21"/>
          <w:szCs w:val="21"/>
          <w:u w:val="single"/>
          <w:lang w:val="en-US" w:eastAsia="zh-CN"/>
        </w:rPr>
        <w:t xml:space="preserve">                                                                                         </w:t>
      </w:r>
    </w:p>
    <w:p w14:paraId="04C914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检测</w:t>
      </w:r>
      <w:r>
        <w:rPr>
          <w:rFonts w:hint="eastAsia" w:ascii="黑体" w:hAnsi="黑体" w:eastAsia="黑体" w:cs="黑体"/>
          <w:color w:val="auto"/>
          <w:sz w:val="32"/>
          <w:szCs w:val="32"/>
        </w:rPr>
        <w:t>机构信息</w:t>
      </w:r>
    </w:p>
    <w:p w14:paraId="30CE2A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单位名称：XXXXXX</w:t>
      </w:r>
    </w:p>
    <w:p w14:paraId="45C798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单位地址：XXXXXX</w:t>
      </w:r>
    </w:p>
    <w:p w14:paraId="19D9AB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电    话：XXXXXX</w:t>
      </w:r>
    </w:p>
    <w:p w14:paraId="5CCF46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传    真：XXXXXX</w:t>
      </w:r>
    </w:p>
    <w:p w14:paraId="102ECAF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邮    箱：XXXXXX</w:t>
      </w:r>
    </w:p>
    <w:p w14:paraId="224C1D9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color w:val="auto"/>
          <w:sz w:val="21"/>
          <w:szCs w:val="21"/>
          <w:lang w:val="en-US" w:eastAsia="zh-CN"/>
        </w:rPr>
      </w:pPr>
    </w:p>
    <w:p w14:paraId="5771E5FA">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3774A9B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r>
        <w:rPr>
          <w:rFonts w:hint="eastAsia" w:ascii="黑体" w:hAnsi="黑体" w:eastAsia="黑体" w:cs="黑体"/>
          <w:color w:val="auto"/>
          <w:sz w:val="32"/>
          <w:szCs w:val="32"/>
          <w:lang w:val="en-US" w:eastAsia="zh-CN"/>
        </w:rPr>
        <w:t>建筑电气防火检测报告</w:t>
      </w:r>
    </w:p>
    <w:p w14:paraId="040D9916">
      <w:pPr>
        <w:keepNext w:val="0"/>
        <w:keepLines w:val="0"/>
        <w:pageBreakBefore w:val="0"/>
        <w:widowControl/>
        <w:kinsoku w:val="0"/>
        <w:wordWrap/>
        <w:overflowPunct/>
        <w:topLinePunct w:val="0"/>
        <w:autoSpaceDE w:val="0"/>
        <w:autoSpaceDN w:val="0"/>
        <w:bidi w:val="0"/>
        <w:adjustRightInd w:val="0"/>
        <w:snapToGrid w:val="0"/>
        <w:spacing w:line="240" w:lineRule="auto"/>
        <w:jc w:val="right"/>
        <w:textAlignment w:val="baseline"/>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color w:val="auto"/>
          <w:sz w:val="21"/>
          <w:szCs w:val="21"/>
          <w:lang w:val="en-US" w:eastAsia="zh-CN"/>
        </w:rPr>
        <w:t>报告编号：****-JZDQFHJC-2024***</w:t>
      </w:r>
    </w:p>
    <w:p w14:paraId="28AC1AFA">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9"/>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一、检测项目概况</w:t>
      </w:r>
    </w:p>
    <w:tbl>
      <w:tblPr>
        <w:tblStyle w:val="89"/>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522"/>
        <w:gridCol w:w="2391"/>
        <w:gridCol w:w="2391"/>
      </w:tblGrid>
      <w:tr w14:paraId="1C2F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60" w:type="dxa"/>
            <w:vAlign w:val="center"/>
          </w:tcPr>
          <w:p w14:paraId="6AA37AE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项目名称</w:t>
            </w:r>
          </w:p>
        </w:tc>
        <w:tc>
          <w:tcPr>
            <w:tcW w:w="7304" w:type="dxa"/>
            <w:gridSpan w:val="3"/>
            <w:vAlign w:val="center"/>
          </w:tcPr>
          <w:p w14:paraId="500D40F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sz w:val="28"/>
                <w:szCs w:val="28"/>
                <w:vertAlign w:val="baseline"/>
                <w:lang w:val="en-US" w:eastAsia="zh-CN"/>
              </w:rPr>
            </w:pPr>
          </w:p>
        </w:tc>
      </w:tr>
      <w:tr w14:paraId="7EF0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60" w:type="dxa"/>
            <w:vAlign w:val="center"/>
          </w:tcPr>
          <w:p w14:paraId="698BEE9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项目地址</w:t>
            </w:r>
          </w:p>
        </w:tc>
        <w:tc>
          <w:tcPr>
            <w:tcW w:w="7304" w:type="dxa"/>
            <w:gridSpan w:val="3"/>
            <w:vAlign w:val="center"/>
          </w:tcPr>
          <w:p w14:paraId="4D72569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sz w:val="28"/>
                <w:szCs w:val="28"/>
                <w:vertAlign w:val="baseline"/>
                <w:lang w:val="en-US" w:eastAsia="zh-CN"/>
              </w:rPr>
            </w:pPr>
          </w:p>
        </w:tc>
      </w:tr>
      <w:tr w14:paraId="4C44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60" w:type="dxa"/>
            <w:vAlign w:val="center"/>
          </w:tcPr>
          <w:p w14:paraId="170B294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委托单位</w:t>
            </w:r>
          </w:p>
        </w:tc>
        <w:tc>
          <w:tcPr>
            <w:tcW w:w="7304" w:type="dxa"/>
            <w:gridSpan w:val="3"/>
            <w:vAlign w:val="center"/>
          </w:tcPr>
          <w:p w14:paraId="6569CB5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sz w:val="28"/>
                <w:szCs w:val="28"/>
                <w:vertAlign w:val="baseline"/>
                <w:lang w:val="en-US" w:eastAsia="zh-CN"/>
              </w:rPr>
            </w:pPr>
          </w:p>
        </w:tc>
      </w:tr>
      <w:tr w14:paraId="194F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60" w:type="dxa"/>
            <w:vAlign w:val="center"/>
          </w:tcPr>
          <w:p w14:paraId="7F93393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管理单位</w:t>
            </w:r>
          </w:p>
        </w:tc>
        <w:tc>
          <w:tcPr>
            <w:tcW w:w="7304" w:type="dxa"/>
            <w:gridSpan w:val="3"/>
            <w:vAlign w:val="center"/>
          </w:tcPr>
          <w:p w14:paraId="5104059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sz w:val="28"/>
                <w:szCs w:val="28"/>
                <w:vertAlign w:val="baseline"/>
                <w:lang w:val="en-US" w:eastAsia="zh-CN"/>
              </w:rPr>
            </w:pPr>
          </w:p>
        </w:tc>
      </w:tr>
      <w:tr w14:paraId="5EF8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60" w:type="dxa"/>
            <w:vAlign w:val="center"/>
          </w:tcPr>
          <w:p w14:paraId="21A8105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设计单位</w:t>
            </w:r>
          </w:p>
        </w:tc>
        <w:tc>
          <w:tcPr>
            <w:tcW w:w="7304" w:type="dxa"/>
            <w:gridSpan w:val="3"/>
            <w:vAlign w:val="center"/>
          </w:tcPr>
          <w:p w14:paraId="5ADABDF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sz w:val="28"/>
                <w:szCs w:val="28"/>
                <w:vertAlign w:val="baseline"/>
                <w:lang w:val="en-US" w:eastAsia="zh-CN"/>
              </w:rPr>
            </w:pPr>
          </w:p>
        </w:tc>
      </w:tr>
      <w:tr w14:paraId="5620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60" w:type="dxa"/>
            <w:vAlign w:val="center"/>
          </w:tcPr>
          <w:p w14:paraId="78B9A3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施工(维保)单位</w:t>
            </w:r>
          </w:p>
        </w:tc>
        <w:tc>
          <w:tcPr>
            <w:tcW w:w="7304" w:type="dxa"/>
            <w:gridSpan w:val="3"/>
            <w:vAlign w:val="center"/>
          </w:tcPr>
          <w:p w14:paraId="7A691D3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sz w:val="28"/>
                <w:szCs w:val="28"/>
                <w:vertAlign w:val="baseline"/>
                <w:lang w:val="en-US" w:eastAsia="zh-CN"/>
              </w:rPr>
            </w:pPr>
          </w:p>
        </w:tc>
      </w:tr>
      <w:tr w14:paraId="6AEA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60" w:type="dxa"/>
            <w:vAlign w:val="center"/>
          </w:tcPr>
          <w:p w14:paraId="64CD5A6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委托单位联系人</w:t>
            </w:r>
          </w:p>
        </w:tc>
        <w:tc>
          <w:tcPr>
            <w:tcW w:w="2522" w:type="dxa"/>
            <w:vAlign w:val="center"/>
          </w:tcPr>
          <w:p w14:paraId="08A0825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sz w:val="28"/>
                <w:szCs w:val="28"/>
                <w:vertAlign w:val="baseline"/>
                <w:lang w:val="en-US" w:eastAsia="zh-CN"/>
              </w:rPr>
            </w:pPr>
          </w:p>
        </w:tc>
        <w:tc>
          <w:tcPr>
            <w:tcW w:w="2391" w:type="dxa"/>
            <w:vAlign w:val="center"/>
          </w:tcPr>
          <w:p w14:paraId="39CD58B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联系电话</w:t>
            </w:r>
          </w:p>
        </w:tc>
        <w:tc>
          <w:tcPr>
            <w:tcW w:w="2391" w:type="dxa"/>
            <w:vAlign w:val="center"/>
          </w:tcPr>
          <w:p w14:paraId="24A2D9D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sz w:val="28"/>
                <w:szCs w:val="28"/>
                <w:vertAlign w:val="baseline"/>
                <w:lang w:val="en-US" w:eastAsia="zh-CN"/>
              </w:rPr>
            </w:pPr>
          </w:p>
        </w:tc>
      </w:tr>
      <w:tr w14:paraId="3BEC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60" w:type="dxa"/>
            <w:vAlign w:val="center"/>
          </w:tcPr>
          <w:p w14:paraId="472529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检测类别</w:t>
            </w:r>
          </w:p>
        </w:tc>
        <w:tc>
          <w:tcPr>
            <w:tcW w:w="2522" w:type="dxa"/>
            <w:vAlign w:val="center"/>
          </w:tcPr>
          <w:p w14:paraId="01E594A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sz w:val="28"/>
                <w:szCs w:val="28"/>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年度检测/委托检测</w:t>
            </w:r>
          </w:p>
        </w:tc>
        <w:tc>
          <w:tcPr>
            <w:tcW w:w="2391" w:type="dxa"/>
            <w:vAlign w:val="center"/>
          </w:tcPr>
          <w:p w14:paraId="4A2BF6E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检测日期</w:t>
            </w:r>
          </w:p>
        </w:tc>
        <w:tc>
          <w:tcPr>
            <w:tcW w:w="2391" w:type="dxa"/>
            <w:vAlign w:val="center"/>
          </w:tcPr>
          <w:p w14:paraId="52F8EC2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sz w:val="28"/>
                <w:szCs w:val="28"/>
                <w:vertAlign w:val="baseline"/>
                <w:lang w:val="en-US" w:eastAsia="zh-CN"/>
              </w:rPr>
            </w:pPr>
          </w:p>
        </w:tc>
      </w:tr>
      <w:tr w14:paraId="375E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60" w:type="dxa"/>
            <w:vAlign w:val="center"/>
          </w:tcPr>
          <w:p w14:paraId="19C28CC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检测依据</w:t>
            </w:r>
          </w:p>
        </w:tc>
        <w:tc>
          <w:tcPr>
            <w:tcW w:w="7304" w:type="dxa"/>
            <w:gridSpan w:val="3"/>
            <w:vAlign w:val="center"/>
          </w:tcPr>
          <w:p w14:paraId="5BABDE7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sz w:val="28"/>
                <w:szCs w:val="28"/>
                <w:vertAlign w:val="baseline"/>
                <w:lang w:val="en-US" w:eastAsia="zh-CN"/>
              </w:rPr>
            </w:pPr>
          </w:p>
        </w:tc>
      </w:tr>
      <w:tr w14:paraId="2D72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564" w:type="dxa"/>
            <w:gridSpan w:val="4"/>
            <w:vAlign w:val="center"/>
          </w:tcPr>
          <w:p w14:paraId="6955872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sz w:val="28"/>
                <w:szCs w:val="28"/>
                <w:vertAlign w:val="baseline"/>
                <w:lang w:val="en-US" w:eastAsia="zh-CN"/>
              </w:rPr>
            </w:pPr>
            <w:r>
              <w:rPr>
                <w:rFonts w:hint="eastAsia" w:ascii="黑体" w:hAnsi="黑体" w:eastAsia="黑体" w:cs="黑体"/>
                <w:color w:val="auto"/>
                <w:sz w:val="21"/>
                <w:szCs w:val="21"/>
                <w:vertAlign w:val="baseline"/>
                <w:lang w:val="en-US" w:eastAsia="zh-CN"/>
              </w:rPr>
              <w:t>项目概况</w:t>
            </w:r>
          </w:p>
        </w:tc>
      </w:tr>
      <w:tr w14:paraId="1DEA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3" w:hRule="atLeast"/>
        </w:trPr>
        <w:tc>
          <w:tcPr>
            <w:tcW w:w="9564" w:type="dxa"/>
            <w:gridSpan w:val="4"/>
            <w:vAlign w:val="top"/>
          </w:tcPr>
          <w:p w14:paraId="3AC36E6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kern w:val="0"/>
                <w:sz w:val="21"/>
                <w:szCs w:val="21"/>
                <w:lang w:val="en-US" w:eastAsia="zh-CN"/>
              </w:rPr>
            </w:pPr>
          </w:p>
          <w:p w14:paraId="11C959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XXXX大厦</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位于XXXX大道XX号，</w:t>
            </w:r>
            <w:r>
              <w:rPr>
                <w:rFonts w:hint="eastAsia" w:ascii="宋体" w:hAnsi="宋体" w:eastAsia="宋体" w:cs="宋体"/>
                <w:color w:val="auto"/>
                <w:kern w:val="0"/>
                <w:sz w:val="21"/>
                <w:szCs w:val="21"/>
              </w:rPr>
              <w:t>总建筑面积</w:t>
            </w:r>
            <w:r>
              <w:rPr>
                <w:rFonts w:hint="eastAsia" w:ascii="宋体" w:hAnsi="宋体" w:eastAsia="宋体" w:cs="宋体"/>
                <w:color w:val="auto"/>
                <w:kern w:val="0"/>
                <w:sz w:val="21"/>
                <w:szCs w:val="21"/>
                <w:lang w:val="en-US" w:eastAsia="zh-CN"/>
              </w:rPr>
              <w:t>XXXXXX</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(地上XXXX</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地下</w:t>
            </w:r>
            <w:r>
              <w:rPr>
                <w:rFonts w:hint="eastAsia" w:ascii="宋体" w:hAnsi="宋体" w:eastAsia="宋体" w:cs="宋体"/>
                <w:color w:val="auto"/>
                <w:kern w:val="0"/>
                <w:sz w:val="21"/>
                <w:szCs w:val="21"/>
                <w:lang w:val="en-US" w:eastAsia="zh-CN"/>
              </w:rPr>
              <w:t>XXXX</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，建筑高度</w:t>
            </w:r>
            <w:r>
              <w:rPr>
                <w:rFonts w:hint="eastAsia" w:ascii="宋体" w:hAnsi="宋体" w:eastAsia="宋体" w:cs="宋体"/>
                <w:color w:val="auto"/>
                <w:kern w:val="0"/>
                <w:sz w:val="21"/>
                <w:szCs w:val="21"/>
                <w:lang w:val="en-US" w:eastAsia="zh-CN"/>
              </w:rPr>
              <w:t>XX</w:t>
            </w:r>
            <w:r>
              <w:rPr>
                <w:rFonts w:hint="eastAsia" w:ascii="宋体" w:hAnsi="宋体" w:eastAsia="宋体" w:cs="宋体"/>
                <w:color w:val="auto"/>
                <w:kern w:val="0"/>
                <w:sz w:val="21"/>
                <w:szCs w:val="21"/>
              </w:rPr>
              <w:t>米，</w:t>
            </w:r>
            <w:r>
              <w:rPr>
                <w:rFonts w:hint="eastAsia" w:ascii="宋体" w:hAnsi="宋体" w:eastAsia="宋体" w:cs="宋体"/>
                <w:color w:val="auto"/>
                <w:kern w:val="0"/>
                <w:sz w:val="21"/>
                <w:szCs w:val="21"/>
                <w:lang w:val="en-US" w:eastAsia="zh-CN"/>
              </w:rPr>
              <w:t>地上XX</w:t>
            </w:r>
            <w:r>
              <w:rPr>
                <w:rFonts w:hint="eastAsia" w:ascii="宋体" w:hAnsi="宋体" w:eastAsia="宋体" w:cs="宋体"/>
                <w:color w:val="auto"/>
                <w:kern w:val="0"/>
                <w:sz w:val="21"/>
                <w:szCs w:val="21"/>
              </w:rPr>
              <w:t>层</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地下XX层，XXXX年XX月竣工投运</w:t>
            </w:r>
            <w:r>
              <w:rPr>
                <w:rFonts w:hint="eastAsia" w:ascii="宋体" w:hAnsi="宋体" w:eastAsia="宋体" w:cs="宋体"/>
                <w:color w:val="auto"/>
                <w:kern w:val="0"/>
                <w:sz w:val="21"/>
                <w:szCs w:val="21"/>
                <w:lang w:eastAsia="zh-CN"/>
              </w:rPr>
              <w:t>。</w:t>
            </w:r>
          </w:p>
          <w:p w14:paraId="4596875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地上</w:t>
            </w:r>
            <w:r>
              <w:rPr>
                <w:rFonts w:hint="eastAsia" w:ascii="宋体" w:hAnsi="宋体" w:eastAsia="宋体" w:cs="宋体"/>
                <w:color w:val="auto"/>
                <w:kern w:val="0"/>
                <w:sz w:val="21"/>
                <w:szCs w:val="21"/>
                <w:lang w:val="en-US" w:eastAsia="zh-CN"/>
              </w:rPr>
              <w:t>1-X</w:t>
            </w:r>
            <w:r>
              <w:rPr>
                <w:rFonts w:hint="eastAsia" w:ascii="宋体" w:hAnsi="宋体" w:eastAsia="宋体" w:cs="宋体"/>
                <w:color w:val="auto"/>
                <w:kern w:val="0"/>
                <w:sz w:val="21"/>
                <w:szCs w:val="21"/>
              </w:rPr>
              <w:t>层为商业</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X-X</w:t>
            </w:r>
            <w:r>
              <w:rPr>
                <w:rFonts w:hint="eastAsia" w:ascii="宋体" w:hAnsi="宋体" w:eastAsia="宋体" w:cs="宋体"/>
                <w:color w:val="auto"/>
                <w:kern w:val="0"/>
                <w:sz w:val="21"/>
                <w:szCs w:val="21"/>
              </w:rPr>
              <w:t>层为影</w:t>
            </w:r>
            <w:r>
              <w:rPr>
                <w:rFonts w:hint="eastAsia" w:ascii="宋体" w:hAnsi="宋体" w:eastAsia="宋体" w:cs="宋体"/>
                <w:color w:val="auto"/>
                <w:kern w:val="0"/>
                <w:sz w:val="21"/>
                <w:szCs w:val="21"/>
                <w:lang w:val="en-US" w:eastAsia="zh-CN"/>
              </w:rPr>
              <w:t>院，X-X</w:t>
            </w:r>
            <w:r>
              <w:rPr>
                <w:rFonts w:hint="eastAsia" w:ascii="宋体" w:hAnsi="宋体" w:eastAsia="宋体" w:cs="宋体"/>
                <w:color w:val="auto"/>
                <w:kern w:val="0"/>
                <w:sz w:val="21"/>
                <w:szCs w:val="21"/>
              </w:rPr>
              <w:t>层为</w:t>
            </w:r>
            <w:r>
              <w:rPr>
                <w:rFonts w:hint="eastAsia" w:ascii="宋体" w:hAnsi="宋体" w:eastAsia="宋体" w:cs="宋体"/>
                <w:color w:val="auto"/>
                <w:kern w:val="0"/>
                <w:sz w:val="21"/>
                <w:szCs w:val="21"/>
                <w:lang w:val="en-US" w:eastAsia="zh-CN"/>
              </w:rPr>
              <w:t>办公</w:t>
            </w:r>
            <w:r>
              <w:rPr>
                <w:rFonts w:hint="eastAsia" w:ascii="微软雅黑" w:hAnsi="微软雅黑" w:eastAsia="微软雅黑" w:cs="微软雅黑"/>
                <w:color w:val="auto"/>
                <w:kern w:val="0"/>
                <w:sz w:val="21"/>
                <w:szCs w:val="21"/>
                <w:lang w:val="en-US" w:eastAsia="zh-CN"/>
              </w:rPr>
              <w:t>……</w:t>
            </w:r>
            <w:r>
              <w:rPr>
                <w:rFonts w:hint="eastAsia" w:ascii="宋体" w:hAnsi="宋体" w:eastAsia="宋体" w:cs="宋体"/>
                <w:color w:val="auto"/>
                <w:kern w:val="0"/>
                <w:sz w:val="21"/>
                <w:szCs w:val="21"/>
              </w:rPr>
              <w:t>；地下1层为设备用房，地下</w:t>
            </w:r>
            <w:r>
              <w:rPr>
                <w:rFonts w:hint="eastAsia" w:ascii="宋体" w:hAnsi="宋体" w:eastAsia="宋体" w:cs="宋体"/>
                <w:color w:val="auto"/>
                <w:kern w:val="0"/>
                <w:sz w:val="21"/>
                <w:szCs w:val="21"/>
                <w:lang w:val="en-US" w:eastAsia="zh-CN"/>
              </w:rPr>
              <w:t>2-X</w:t>
            </w:r>
            <w:r>
              <w:rPr>
                <w:rFonts w:hint="eastAsia" w:ascii="宋体" w:hAnsi="宋体" w:eastAsia="宋体" w:cs="宋体"/>
                <w:color w:val="auto"/>
                <w:kern w:val="0"/>
                <w:sz w:val="21"/>
                <w:szCs w:val="21"/>
              </w:rPr>
              <w:t>层</w:t>
            </w:r>
            <w:r>
              <w:rPr>
                <w:rFonts w:hint="eastAsia" w:ascii="宋体" w:hAnsi="宋体" w:eastAsia="宋体" w:cs="宋体"/>
                <w:color w:val="auto"/>
                <w:kern w:val="0"/>
                <w:sz w:val="21"/>
                <w:szCs w:val="21"/>
                <w:lang w:val="en-US" w:eastAsia="zh-CN"/>
              </w:rPr>
              <w:t>为车库</w:t>
            </w:r>
            <w:r>
              <w:rPr>
                <w:rFonts w:hint="eastAsia" w:ascii="微软雅黑" w:hAnsi="微软雅黑" w:eastAsia="微软雅黑" w:cs="微软雅黑"/>
                <w:color w:val="auto"/>
                <w:kern w:val="0"/>
                <w:sz w:val="21"/>
                <w:szCs w:val="21"/>
                <w:lang w:val="en-US" w:eastAsia="zh-CN"/>
              </w:rPr>
              <w:t>……</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该建筑</w:t>
            </w:r>
            <w:r>
              <w:rPr>
                <w:rFonts w:hint="eastAsia" w:ascii="宋体" w:hAnsi="宋体" w:eastAsia="宋体" w:cs="宋体"/>
                <w:color w:val="auto"/>
                <w:kern w:val="0"/>
                <w:sz w:val="21"/>
                <w:szCs w:val="21"/>
              </w:rPr>
              <w:t>属于</w:t>
            </w:r>
            <w:r>
              <w:rPr>
                <w:rFonts w:hint="eastAsia" w:ascii="宋体" w:hAnsi="宋体" w:eastAsia="宋体" w:cs="宋体"/>
                <w:color w:val="auto"/>
                <w:kern w:val="0"/>
                <w:sz w:val="21"/>
                <w:szCs w:val="21"/>
                <w:lang w:val="en-US" w:eastAsia="zh-CN"/>
              </w:rPr>
              <w:t>XXXX</w:t>
            </w:r>
            <w:r>
              <w:rPr>
                <w:rFonts w:hint="eastAsia" w:ascii="宋体" w:hAnsi="宋体" w:eastAsia="宋体" w:cs="宋体"/>
                <w:color w:val="auto"/>
                <w:kern w:val="0"/>
                <w:sz w:val="21"/>
                <w:szCs w:val="21"/>
              </w:rPr>
              <w:t>建筑</w:t>
            </w:r>
            <w:r>
              <w:rPr>
                <w:rFonts w:hint="eastAsia" w:ascii="宋体" w:hAnsi="宋体" w:eastAsia="宋体" w:cs="宋体"/>
                <w:color w:val="auto"/>
                <w:kern w:val="0"/>
                <w:sz w:val="21"/>
                <w:szCs w:val="21"/>
                <w:lang w:val="en-US" w:eastAsia="zh-CN"/>
              </w:rPr>
              <w:t>(建筑类型)</w:t>
            </w:r>
            <w:r>
              <w:rPr>
                <w:rFonts w:hint="eastAsia" w:ascii="宋体" w:hAnsi="宋体" w:eastAsia="宋体" w:cs="宋体"/>
                <w:color w:val="auto"/>
                <w:kern w:val="0"/>
                <w:sz w:val="21"/>
                <w:szCs w:val="21"/>
                <w:lang w:eastAsia="zh-CN"/>
              </w:rPr>
              <w:t>。</w:t>
            </w:r>
          </w:p>
          <w:p w14:paraId="28F62FC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受检</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内电气</w:t>
            </w:r>
            <w:r>
              <w:rPr>
                <w:rFonts w:hint="eastAsia" w:ascii="宋体" w:hAnsi="宋体" w:eastAsia="宋体" w:cs="宋体"/>
                <w:color w:val="auto"/>
                <w:sz w:val="21"/>
                <w:szCs w:val="21"/>
                <w:lang w:val="en-US" w:eastAsia="zh-CN"/>
              </w:rPr>
              <w:t>设备</w:t>
            </w:r>
            <w:r>
              <w:rPr>
                <w:rFonts w:hint="eastAsia" w:ascii="宋体" w:hAnsi="宋体" w:eastAsia="宋体" w:cs="宋体"/>
                <w:color w:val="auto"/>
                <w:sz w:val="21"/>
                <w:szCs w:val="21"/>
              </w:rPr>
              <w:t>主要包括</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变电所</w:t>
            </w:r>
            <w:r>
              <w:rPr>
                <w:rFonts w:hint="eastAsia" w:ascii="宋体" w:hAnsi="宋体" w:eastAsia="宋体" w:cs="宋体"/>
                <w:color w:val="auto"/>
                <w:kern w:val="0"/>
                <w:sz w:val="21"/>
                <w:szCs w:val="21"/>
                <w:lang w:val="en-US" w:eastAsia="zh-CN"/>
              </w:rPr>
              <w:t>X</w:t>
            </w:r>
            <w:r>
              <w:rPr>
                <w:rFonts w:hint="eastAsia" w:ascii="宋体" w:hAnsi="宋体" w:eastAsia="宋体" w:cs="宋体"/>
                <w:color w:val="auto"/>
                <w:sz w:val="21"/>
                <w:szCs w:val="21"/>
                <w:lang w:val="en-US" w:eastAsia="zh-CN"/>
              </w:rPr>
              <w:t>个，干式变压器</w:t>
            </w:r>
            <w:r>
              <w:rPr>
                <w:rFonts w:hint="eastAsia" w:ascii="宋体" w:hAnsi="宋体" w:eastAsia="宋体" w:cs="宋体"/>
                <w:color w:val="auto"/>
                <w:kern w:val="0"/>
                <w:sz w:val="21"/>
                <w:szCs w:val="21"/>
                <w:lang w:val="en-US" w:eastAsia="zh-CN"/>
              </w:rPr>
              <w:t>X</w:t>
            </w:r>
            <w:r>
              <w:rPr>
                <w:rFonts w:hint="eastAsia" w:ascii="宋体" w:hAnsi="宋体" w:eastAsia="宋体" w:cs="宋体"/>
                <w:color w:val="auto"/>
                <w:sz w:val="21"/>
                <w:szCs w:val="21"/>
                <w:lang w:val="en-US" w:eastAsia="zh-CN"/>
              </w:rPr>
              <w:t>台；配电室</w:t>
            </w:r>
            <w:r>
              <w:rPr>
                <w:rFonts w:hint="eastAsia" w:ascii="宋体" w:hAnsi="宋体" w:eastAsia="宋体" w:cs="宋体"/>
                <w:color w:val="auto"/>
                <w:kern w:val="0"/>
                <w:sz w:val="21"/>
                <w:szCs w:val="21"/>
                <w:lang w:val="en-US" w:eastAsia="zh-CN"/>
              </w:rPr>
              <w:t>XX</w:t>
            </w:r>
            <w:r>
              <w:rPr>
                <w:rFonts w:hint="eastAsia" w:ascii="宋体" w:hAnsi="宋体" w:eastAsia="宋体" w:cs="宋体"/>
                <w:color w:val="auto"/>
                <w:sz w:val="21"/>
                <w:szCs w:val="21"/>
                <w:lang w:val="en-US" w:eastAsia="zh-CN"/>
              </w:rPr>
              <w:t>个，</w:t>
            </w:r>
            <w:r>
              <w:rPr>
                <w:rFonts w:hint="eastAsia" w:ascii="宋体" w:hAnsi="宋体" w:eastAsia="宋体" w:cs="宋体"/>
                <w:color w:val="auto"/>
                <w:sz w:val="21"/>
                <w:szCs w:val="21"/>
              </w:rPr>
              <w:t>配电</w:t>
            </w:r>
            <w:r>
              <w:rPr>
                <w:rFonts w:hint="eastAsia" w:ascii="宋体" w:hAnsi="宋体" w:eastAsia="宋体" w:cs="宋体"/>
                <w:color w:val="auto"/>
                <w:sz w:val="21"/>
                <w:szCs w:val="21"/>
                <w:lang w:val="en-US" w:eastAsia="zh-CN"/>
              </w:rPr>
              <w:t>控制柜（</w:t>
            </w:r>
            <w:r>
              <w:rPr>
                <w:rFonts w:hint="eastAsia" w:ascii="宋体" w:hAnsi="宋体" w:eastAsia="宋体" w:cs="宋体"/>
                <w:color w:val="auto"/>
                <w:sz w:val="21"/>
                <w:szCs w:val="21"/>
              </w:rPr>
              <w:t>箱</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lang w:val="en-US" w:eastAsia="zh-CN"/>
              </w:rPr>
              <w:t>XXX</w:t>
            </w:r>
            <w:r>
              <w:rPr>
                <w:rFonts w:hint="eastAsia" w:ascii="宋体" w:hAnsi="宋体" w:eastAsia="宋体" w:cs="宋体"/>
                <w:color w:val="auto"/>
                <w:sz w:val="21"/>
                <w:szCs w:val="21"/>
              </w:rPr>
              <w:t>个</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插座</w:t>
            </w:r>
            <w:r>
              <w:rPr>
                <w:rFonts w:hint="eastAsia" w:ascii="宋体" w:hAnsi="宋体" w:eastAsia="宋体" w:cs="宋体"/>
                <w:color w:val="auto"/>
                <w:kern w:val="0"/>
                <w:sz w:val="21"/>
                <w:szCs w:val="21"/>
                <w:lang w:val="en-US" w:eastAsia="zh-CN"/>
              </w:rPr>
              <w:t>XXX</w:t>
            </w:r>
            <w:r>
              <w:rPr>
                <w:rFonts w:hint="eastAsia" w:ascii="宋体" w:hAnsi="宋体" w:eastAsia="宋体" w:cs="宋体"/>
                <w:color w:val="auto"/>
                <w:sz w:val="21"/>
                <w:szCs w:val="21"/>
              </w:rPr>
              <w:t>个</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开关</w:t>
            </w:r>
            <w:r>
              <w:rPr>
                <w:rFonts w:hint="eastAsia" w:ascii="宋体" w:hAnsi="宋体" w:eastAsia="宋体" w:cs="宋体"/>
                <w:color w:val="auto"/>
                <w:kern w:val="0"/>
                <w:sz w:val="21"/>
                <w:szCs w:val="21"/>
                <w:lang w:val="en-US" w:eastAsia="zh-CN"/>
              </w:rPr>
              <w:t>XXX</w:t>
            </w:r>
            <w:r>
              <w:rPr>
                <w:rFonts w:hint="eastAsia" w:ascii="宋体" w:hAnsi="宋体" w:eastAsia="宋体" w:cs="宋体"/>
                <w:color w:val="auto"/>
                <w:sz w:val="21"/>
                <w:szCs w:val="21"/>
              </w:rPr>
              <w:t>个</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照明灯具</w:t>
            </w:r>
            <w:r>
              <w:rPr>
                <w:rFonts w:hint="eastAsia" w:ascii="宋体" w:hAnsi="宋体" w:eastAsia="宋体" w:cs="宋体"/>
                <w:color w:val="auto"/>
                <w:kern w:val="0"/>
                <w:sz w:val="21"/>
                <w:szCs w:val="21"/>
                <w:lang w:val="en-US" w:eastAsia="zh-CN"/>
              </w:rPr>
              <w:t>XXXX</w:t>
            </w:r>
            <w:r>
              <w:rPr>
                <w:rFonts w:hint="eastAsia" w:ascii="宋体" w:hAnsi="宋体" w:eastAsia="宋体" w:cs="宋体"/>
                <w:color w:val="auto"/>
                <w:sz w:val="21"/>
                <w:szCs w:val="21"/>
              </w:rPr>
              <w:t>个</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接地与等电位</w:t>
            </w:r>
            <w:r>
              <w:rPr>
                <w:rFonts w:hint="eastAsia" w:ascii="宋体" w:hAnsi="宋体" w:eastAsia="宋体" w:cs="宋体"/>
                <w:color w:val="auto"/>
                <w:kern w:val="0"/>
                <w:sz w:val="21"/>
                <w:szCs w:val="21"/>
                <w:lang w:val="en-US" w:eastAsia="zh-CN"/>
              </w:rPr>
              <w:t>XXX</w:t>
            </w:r>
            <w:r>
              <w:rPr>
                <w:rFonts w:hint="eastAsia" w:ascii="宋体" w:hAnsi="宋体" w:eastAsia="宋体" w:cs="宋体"/>
                <w:color w:val="auto"/>
                <w:sz w:val="21"/>
                <w:szCs w:val="21"/>
              </w:rPr>
              <w:t>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电缆电气线路</w:t>
            </w:r>
            <w:r>
              <w:rPr>
                <w:rFonts w:hint="eastAsia" w:ascii="宋体" w:hAnsi="宋体" w:eastAsia="宋体" w:cs="宋体"/>
                <w:color w:val="auto"/>
                <w:kern w:val="0"/>
                <w:sz w:val="21"/>
                <w:szCs w:val="21"/>
                <w:lang w:val="en-US" w:eastAsia="zh-CN"/>
              </w:rPr>
              <w:t>XXX</w:t>
            </w:r>
            <w:r>
              <w:rPr>
                <w:rFonts w:hint="eastAsia" w:ascii="宋体" w:hAnsi="宋体" w:eastAsia="宋体" w:cs="宋体"/>
                <w:color w:val="auto"/>
                <w:sz w:val="21"/>
                <w:szCs w:val="21"/>
              </w:rPr>
              <w:t>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电动机</w:t>
            </w:r>
            <w:r>
              <w:rPr>
                <w:rFonts w:hint="eastAsia" w:ascii="宋体" w:hAnsi="宋体" w:eastAsia="宋体" w:cs="宋体"/>
                <w:color w:val="auto"/>
                <w:kern w:val="0"/>
                <w:sz w:val="21"/>
                <w:szCs w:val="21"/>
                <w:lang w:val="en-US" w:eastAsia="zh-CN"/>
              </w:rPr>
              <w:t>XX</w:t>
            </w:r>
            <w:r>
              <w:rPr>
                <w:rFonts w:hint="eastAsia" w:ascii="宋体" w:hAnsi="宋体" w:eastAsia="宋体" w:cs="宋体"/>
                <w:color w:val="auto"/>
                <w:sz w:val="21"/>
                <w:szCs w:val="21"/>
              </w:rPr>
              <w:t>台</w:t>
            </w:r>
            <w:r>
              <w:rPr>
                <w:rFonts w:hint="eastAsia" w:ascii="微软雅黑" w:hAnsi="微软雅黑" w:eastAsia="微软雅黑" w:cs="微软雅黑"/>
                <w:color w:val="auto"/>
                <w:kern w:val="0"/>
                <w:sz w:val="21"/>
                <w:szCs w:val="21"/>
                <w:lang w:val="en-US" w:eastAsia="zh-CN"/>
              </w:rPr>
              <w:t>……</w:t>
            </w:r>
            <w:r>
              <w:rPr>
                <w:rFonts w:hint="eastAsia" w:ascii="宋体" w:hAnsi="宋体" w:eastAsia="宋体" w:cs="宋体"/>
                <w:color w:val="auto"/>
                <w:sz w:val="21"/>
                <w:szCs w:val="21"/>
                <w:lang w:eastAsia="zh-CN"/>
              </w:rPr>
              <w:t>。</w:t>
            </w:r>
          </w:p>
          <w:p w14:paraId="606F4A8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lang w:eastAsia="zh-CN"/>
              </w:rPr>
            </w:pPr>
          </w:p>
          <w:p w14:paraId="7DB58D2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lang w:eastAsia="zh-CN"/>
              </w:rPr>
            </w:pPr>
          </w:p>
          <w:p w14:paraId="25F1D97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lang w:eastAsia="zh-CN"/>
              </w:rPr>
            </w:pPr>
          </w:p>
          <w:p w14:paraId="2E86DD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lang w:eastAsia="zh-CN"/>
              </w:rPr>
            </w:pPr>
          </w:p>
          <w:p w14:paraId="489B3A7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lang w:eastAsia="zh-CN"/>
              </w:rPr>
            </w:pPr>
          </w:p>
          <w:p w14:paraId="7A58CD2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lang w:eastAsia="zh-CN"/>
              </w:rPr>
            </w:pPr>
          </w:p>
          <w:p w14:paraId="2A472F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lang w:val="en-US" w:eastAsia="zh-CN"/>
              </w:rPr>
            </w:pPr>
          </w:p>
        </w:tc>
      </w:tr>
    </w:tbl>
    <w:p w14:paraId="2BBF650D">
      <w:pPr>
        <w:keepNext w:val="0"/>
        <w:keepLines w:val="0"/>
        <w:pageBreakBefore w:val="0"/>
        <w:widowControl/>
        <w:kinsoku w:val="0"/>
        <w:wordWrap/>
        <w:overflowPunct/>
        <w:topLinePunct w:val="0"/>
        <w:autoSpaceDE w:val="0"/>
        <w:autoSpaceDN w:val="0"/>
        <w:bidi w:val="0"/>
        <w:adjustRightInd w:val="0"/>
        <w:snapToGrid w:val="0"/>
        <w:spacing w:line="240" w:lineRule="auto"/>
        <w:jc w:val="righ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    页共   页</w:t>
      </w:r>
    </w:p>
    <w:p w14:paraId="33789B4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b w:val="0"/>
          <w:bCs w:val="0"/>
          <w:snapToGrid/>
          <w:color w:val="auto"/>
          <w:kern w:val="0"/>
          <w:position w:val="-2"/>
          <w:sz w:val="32"/>
          <w:szCs w:val="32"/>
          <w:u w:val="none"/>
          <w:shd w:val="clear" w:color="auto" w:fill="auto"/>
          <w:vertAlign w:val="baseline"/>
          <w:lang w:val="en-US" w:eastAsia="zh-CN" w:bidi="ar-SA"/>
        </w:rPr>
      </w:pPr>
      <w:r>
        <w:rPr>
          <w:rFonts w:hint="eastAsia" w:ascii="黑体" w:hAnsi="黑体" w:eastAsia="黑体" w:cs="黑体"/>
          <w:color w:val="auto"/>
          <w:sz w:val="32"/>
          <w:szCs w:val="32"/>
          <w:lang w:val="en-US" w:eastAsia="zh-CN"/>
        </w:rPr>
        <w:t>建筑电气防火检测报告</w:t>
      </w:r>
    </w:p>
    <w:p w14:paraId="4C9A6A19">
      <w:pPr>
        <w:keepNext w:val="0"/>
        <w:keepLines w:val="0"/>
        <w:pageBreakBefore w:val="0"/>
        <w:widowControl/>
        <w:kinsoku w:val="0"/>
        <w:wordWrap/>
        <w:overflowPunct/>
        <w:topLinePunct w:val="0"/>
        <w:autoSpaceDE w:val="0"/>
        <w:autoSpaceDN w:val="0"/>
        <w:bidi w:val="0"/>
        <w:adjustRightInd w:val="0"/>
        <w:snapToGrid w:val="0"/>
        <w:spacing w:line="240" w:lineRule="auto"/>
        <w:jc w:val="right"/>
        <w:textAlignment w:val="baseline"/>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color w:val="auto"/>
          <w:sz w:val="21"/>
          <w:szCs w:val="21"/>
          <w:lang w:val="en-US" w:eastAsia="zh-CN"/>
        </w:rPr>
        <w:t>报告编号：****-JZDQFHJC-2024***</w:t>
      </w:r>
    </w:p>
    <w:p w14:paraId="1B36A459">
      <w:pPr>
        <w:keepNext w:val="0"/>
        <w:keepLines w:val="0"/>
        <w:pageBreakBefore w:val="0"/>
        <w:widowControl/>
        <w:numPr>
          <w:ilvl w:val="0"/>
          <w:numId w:val="33"/>
        </w:numPr>
        <w:kinsoku w:val="0"/>
        <w:wordWrap/>
        <w:overflowPunct/>
        <w:topLinePunct w:val="0"/>
        <w:autoSpaceDE w:val="0"/>
        <w:autoSpaceDN w:val="0"/>
        <w:bidi w:val="0"/>
        <w:adjustRightInd w:val="0"/>
        <w:snapToGrid w:val="0"/>
        <w:spacing w:line="240" w:lineRule="auto"/>
        <w:jc w:val="both"/>
        <w:textAlignment w:val="baseline"/>
        <w:outlineLvl w:val="9"/>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检测子项及结果</w:t>
      </w:r>
    </w:p>
    <w:tbl>
      <w:tblPr>
        <w:tblStyle w:val="88"/>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0"/>
        <w:gridCol w:w="1513"/>
        <w:gridCol w:w="1623"/>
        <w:gridCol w:w="3054"/>
      </w:tblGrid>
      <w:tr w14:paraId="78DA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9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C681C0">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检测子项及结果</w:t>
            </w:r>
          </w:p>
        </w:tc>
      </w:tr>
      <w:tr w14:paraId="58A6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9F3D">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检测子项</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4C542">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技术要点项现场检测数量</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EC6D">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不符合数量</w:t>
            </w:r>
          </w:p>
        </w:tc>
      </w:tr>
      <w:tr w14:paraId="766C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141CD">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配电变压器</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F6EE">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9CD6">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E11B">
            <w:pPr>
              <w:jc w:val="center"/>
              <w:rPr>
                <w:rFonts w:hint="eastAsia" w:ascii="黑体" w:hAnsi="黑体" w:eastAsia="黑体" w:cs="黑体"/>
                <w:i w:val="0"/>
                <w:iCs w:val="0"/>
                <w:color w:val="auto"/>
                <w:sz w:val="21"/>
                <w:szCs w:val="21"/>
                <w:u w:val="none"/>
              </w:rPr>
            </w:pPr>
          </w:p>
        </w:tc>
      </w:tr>
      <w:tr w14:paraId="4808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3BF29">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72EC">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E2D8">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FD80">
            <w:pPr>
              <w:jc w:val="center"/>
              <w:rPr>
                <w:rFonts w:hint="eastAsia" w:ascii="黑体" w:hAnsi="黑体" w:eastAsia="黑体" w:cs="黑体"/>
                <w:i w:val="0"/>
                <w:iCs w:val="0"/>
                <w:color w:val="auto"/>
                <w:sz w:val="21"/>
                <w:szCs w:val="21"/>
                <w:u w:val="none"/>
              </w:rPr>
            </w:pPr>
          </w:p>
        </w:tc>
      </w:tr>
      <w:tr w14:paraId="6CDC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FBCF7">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AB99">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A956">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CFA2">
            <w:pPr>
              <w:jc w:val="center"/>
              <w:rPr>
                <w:rFonts w:hint="eastAsia" w:ascii="黑体" w:hAnsi="黑体" w:eastAsia="黑体" w:cs="黑体"/>
                <w:i w:val="0"/>
                <w:iCs w:val="0"/>
                <w:color w:val="auto"/>
                <w:sz w:val="21"/>
                <w:szCs w:val="21"/>
                <w:u w:val="none"/>
              </w:rPr>
            </w:pPr>
          </w:p>
        </w:tc>
      </w:tr>
      <w:tr w14:paraId="167F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45368">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高压配电装置</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2FF4">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E133">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96AE">
            <w:pPr>
              <w:jc w:val="center"/>
              <w:rPr>
                <w:rFonts w:hint="eastAsia" w:ascii="黑体" w:hAnsi="黑体" w:eastAsia="黑体" w:cs="黑体"/>
                <w:i w:val="0"/>
                <w:iCs w:val="0"/>
                <w:color w:val="auto"/>
                <w:sz w:val="21"/>
                <w:szCs w:val="21"/>
                <w:u w:val="none"/>
              </w:rPr>
            </w:pPr>
          </w:p>
        </w:tc>
      </w:tr>
      <w:tr w14:paraId="7385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76319">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C769">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BB29">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F99F">
            <w:pPr>
              <w:jc w:val="center"/>
              <w:rPr>
                <w:rFonts w:hint="eastAsia" w:ascii="黑体" w:hAnsi="黑体" w:eastAsia="黑体" w:cs="黑体"/>
                <w:i w:val="0"/>
                <w:iCs w:val="0"/>
                <w:color w:val="auto"/>
                <w:sz w:val="21"/>
                <w:szCs w:val="21"/>
                <w:u w:val="none"/>
              </w:rPr>
            </w:pPr>
          </w:p>
        </w:tc>
      </w:tr>
      <w:tr w14:paraId="2885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E6FB4">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5B9B">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29D9">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576F">
            <w:pPr>
              <w:jc w:val="center"/>
              <w:rPr>
                <w:rFonts w:hint="eastAsia" w:ascii="黑体" w:hAnsi="黑体" w:eastAsia="黑体" w:cs="黑体"/>
                <w:i w:val="0"/>
                <w:iCs w:val="0"/>
                <w:color w:val="auto"/>
                <w:sz w:val="21"/>
                <w:szCs w:val="21"/>
                <w:u w:val="none"/>
              </w:rPr>
            </w:pPr>
          </w:p>
        </w:tc>
      </w:tr>
      <w:tr w14:paraId="1532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94092">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低压配电和控制电器</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BBD7">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EC0A">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93EF">
            <w:pPr>
              <w:jc w:val="center"/>
              <w:rPr>
                <w:rFonts w:hint="eastAsia" w:ascii="黑体" w:hAnsi="黑体" w:eastAsia="黑体" w:cs="黑体"/>
                <w:i w:val="0"/>
                <w:iCs w:val="0"/>
                <w:color w:val="auto"/>
                <w:sz w:val="21"/>
                <w:szCs w:val="21"/>
                <w:u w:val="none"/>
              </w:rPr>
            </w:pPr>
          </w:p>
        </w:tc>
      </w:tr>
      <w:tr w14:paraId="53F5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87790">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EEB6">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FDCD">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5E49">
            <w:pPr>
              <w:jc w:val="center"/>
              <w:rPr>
                <w:rFonts w:hint="eastAsia" w:ascii="黑体" w:hAnsi="黑体" w:eastAsia="黑体" w:cs="黑体"/>
                <w:i w:val="0"/>
                <w:iCs w:val="0"/>
                <w:color w:val="auto"/>
                <w:sz w:val="21"/>
                <w:szCs w:val="21"/>
                <w:u w:val="none"/>
              </w:rPr>
            </w:pPr>
          </w:p>
        </w:tc>
      </w:tr>
      <w:tr w14:paraId="009FB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359A0">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89A3">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E511">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E7BD">
            <w:pPr>
              <w:jc w:val="center"/>
              <w:rPr>
                <w:rFonts w:hint="eastAsia" w:ascii="黑体" w:hAnsi="黑体" w:eastAsia="黑体" w:cs="黑体"/>
                <w:i w:val="0"/>
                <w:iCs w:val="0"/>
                <w:color w:val="auto"/>
                <w:sz w:val="21"/>
                <w:szCs w:val="21"/>
                <w:u w:val="none"/>
              </w:rPr>
            </w:pPr>
          </w:p>
        </w:tc>
      </w:tr>
      <w:tr w14:paraId="639C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5FDBD">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剩余电流保护装置</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14CA">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4AFA">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3BB9">
            <w:pPr>
              <w:jc w:val="center"/>
              <w:rPr>
                <w:rFonts w:hint="eastAsia" w:ascii="黑体" w:hAnsi="黑体" w:eastAsia="黑体" w:cs="黑体"/>
                <w:i w:val="0"/>
                <w:iCs w:val="0"/>
                <w:color w:val="auto"/>
                <w:sz w:val="21"/>
                <w:szCs w:val="21"/>
                <w:u w:val="none"/>
              </w:rPr>
            </w:pPr>
          </w:p>
        </w:tc>
      </w:tr>
      <w:tr w14:paraId="160D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C753C">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CAE6">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C6D7">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0DBF">
            <w:pPr>
              <w:jc w:val="center"/>
              <w:rPr>
                <w:rFonts w:hint="eastAsia" w:ascii="黑体" w:hAnsi="黑体" w:eastAsia="黑体" w:cs="黑体"/>
                <w:i w:val="0"/>
                <w:iCs w:val="0"/>
                <w:color w:val="auto"/>
                <w:sz w:val="21"/>
                <w:szCs w:val="21"/>
                <w:u w:val="none"/>
              </w:rPr>
            </w:pPr>
          </w:p>
        </w:tc>
      </w:tr>
      <w:tr w14:paraId="413F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B316C">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7134">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FB20">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E2E3">
            <w:pPr>
              <w:jc w:val="center"/>
              <w:rPr>
                <w:rFonts w:hint="eastAsia" w:ascii="黑体" w:hAnsi="黑体" w:eastAsia="黑体" w:cs="黑体"/>
                <w:i w:val="0"/>
                <w:iCs w:val="0"/>
                <w:color w:val="auto"/>
                <w:sz w:val="21"/>
                <w:szCs w:val="21"/>
                <w:u w:val="none"/>
              </w:rPr>
            </w:pPr>
          </w:p>
        </w:tc>
      </w:tr>
      <w:tr w14:paraId="19BAB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2E3E9">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低压配电柜</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8C53">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BCBC">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5201">
            <w:pPr>
              <w:jc w:val="center"/>
              <w:rPr>
                <w:rFonts w:hint="eastAsia" w:ascii="黑体" w:hAnsi="黑体" w:eastAsia="黑体" w:cs="黑体"/>
                <w:i w:val="0"/>
                <w:iCs w:val="0"/>
                <w:color w:val="auto"/>
                <w:sz w:val="21"/>
                <w:szCs w:val="21"/>
                <w:u w:val="none"/>
              </w:rPr>
            </w:pPr>
          </w:p>
        </w:tc>
      </w:tr>
      <w:tr w14:paraId="1376C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1D7FD">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542B">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784C">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EFB9">
            <w:pPr>
              <w:jc w:val="center"/>
              <w:rPr>
                <w:rFonts w:hint="eastAsia" w:ascii="黑体" w:hAnsi="黑体" w:eastAsia="黑体" w:cs="黑体"/>
                <w:i w:val="0"/>
                <w:iCs w:val="0"/>
                <w:color w:val="auto"/>
                <w:sz w:val="21"/>
                <w:szCs w:val="21"/>
                <w:u w:val="none"/>
              </w:rPr>
            </w:pPr>
          </w:p>
        </w:tc>
      </w:tr>
      <w:tr w14:paraId="7755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A402">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7B02">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BF85">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61CB">
            <w:pPr>
              <w:jc w:val="center"/>
              <w:rPr>
                <w:rFonts w:hint="eastAsia" w:ascii="黑体" w:hAnsi="黑体" w:eastAsia="黑体" w:cs="黑体"/>
                <w:i w:val="0"/>
                <w:iCs w:val="0"/>
                <w:color w:val="auto"/>
                <w:sz w:val="21"/>
                <w:szCs w:val="21"/>
                <w:u w:val="none"/>
              </w:rPr>
            </w:pPr>
          </w:p>
        </w:tc>
      </w:tr>
      <w:tr w14:paraId="5CDC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9D19B">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电线和电缆</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9084">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B5AE">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49ED">
            <w:pPr>
              <w:jc w:val="center"/>
              <w:rPr>
                <w:rFonts w:hint="eastAsia" w:ascii="黑体" w:hAnsi="黑体" w:eastAsia="黑体" w:cs="黑体"/>
                <w:i w:val="0"/>
                <w:iCs w:val="0"/>
                <w:color w:val="auto"/>
                <w:sz w:val="21"/>
                <w:szCs w:val="21"/>
                <w:u w:val="none"/>
              </w:rPr>
            </w:pPr>
          </w:p>
        </w:tc>
      </w:tr>
      <w:tr w14:paraId="485D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AE299">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DBB2">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3059">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ED65">
            <w:pPr>
              <w:jc w:val="center"/>
              <w:rPr>
                <w:rFonts w:hint="eastAsia" w:ascii="黑体" w:hAnsi="黑体" w:eastAsia="黑体" w:cs="黑体"/>
                <w:i w:val="0"/>
                <w:iCs w:val="0"/>
                <w:color w:val="auto"/>
                <w:sz w:val="21"/>
                <w:szCs w:val="21"/>
                <w:u w:val="none"/>
              </w:rPr>
            </w:pPr>
          </w:p>
        </w:tc>
      </w:tr>
      <w:tr w14:paraId="52D6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341ED">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B841">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5C5D">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AD1D">
            <w:pPr>
              <w:jc w:val="center"/>
              <w:rPr>
                <w:rFonts w:hint="eastAsia" w:ascii="黑体" w:hAnsi="黑体" w:eastAsia="黑体" w:cs="黑体"/>
                <w:i w:val="0"/>
                <w:iCs w:val="0"/>
                <w:color w:val="auto"/>
                <w:sz w:val="21"/>
                <w:szCs w:val="21"/>
                <w:u w:val="none"/>
              </w:rPr>
            </w:pPr>
          </w:p>
        </w:tc>
      </w:tr>
      <w:tr w14:paraId="2E59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C2EE8">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线路敷设</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AB3E">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630B">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A0E5">
            <w:pPr>
              <w:jc w:val="center"/>
              <w:rPr>
                <w:rFonts w:hint="eastAsia" w:ascii="黑体" w:hAnsi="黑体" w:eastAsia="黑体" w:cs="黑体"/>
                <w:i w:val="0"/>
                <w:iCs w:val="0"/>
                <w:color w:val="auto"/>
                <w:sz w:val="21"/>
                <w:szCs w:val="21"/>
                <w:u w:val="none"/>
              </w:rPr>
            </w:pPr>
          </w:p>
        </w:tc>
      </w:tr>
      <w:tr w14:paraId="4F65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0B3F8">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0AC0">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19BD">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FD7C">
            <w:pPr>
              <w:jc w:val="center"/>
              <w:rPr>
                <w:rFonts w:hint="eastAsia" w:ascii="黑体" w:hAnsi="黑体" w:eastAsia="黑体" w:cs="黑体"/>
                <w:i w:val="0"/>
                <w:iCs w:val="0"/>
                <w:color w:val="auto"/>
                <w:sz w:val="21"/>
                <w:szCs w:val="21"/>
                <w:u w:val="none"/>
              </w:rPr>
            </w:pPr>
          </w:p>
        </w:tc>
      </w:tr>
      <w:tr w14:paraId="176BA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1CCD1">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133A">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1826">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E798">
            <w:pPr>
              <w:jc w:val="center"/>
              <w:rPr>
                <w:rFonts w:hint="eastAsia" w:ascii="黑体" w:hAnsi="黑体" w:eastAsia="黑体" w:cs="黑体"/>
                <w:i w:val="0"/>
                <w:iCs w:val="0"/>
                <w:color w:val="auto"/>
                <w:sz w:val="21"/>
                <w:szCs w:val="21"/>
                <w:u w:val="none"/>
              </w:rPr>
            </w:pPr>
          </w:p>
        </w:tc>
      </w:tr>
      <w:tr w14:paraId="4641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17A77">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导体连接</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ACE2">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F4D0">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3004">
            <w:pPr>
              <w:jc w:val="center"/>
              <w:rPr>
                <w:rFonts w:hint="eastAsia" w:ascii="黑体" w:hAnsi="黑体" w:eastAsia="黑体" w:cs="黑体"/>
                <w:i w:val="0"/>
                <w:iCs w:val="0"/>
                <w:color w:val="auto"/>
                <w:sz w:val="21"/>
                <w:szCs w:val="21"/>
                <w:u w:val="none"/>
              </w:rPr>
            </w:pPr>
          </w:p>
        </w:tc>
      </w:tr>
      <w:tr w14:paraId="7402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0F8C4">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BE63">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6C45">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D183">
            <w:pPr>
              <w:jc w:val="center"/>
              <w:rPr>
                <w:rFonts w:hint="eastAsia" w:ascii="黑体" w:hAnsi="黑体" w:eastAsia="黑体" w:cs="黑体"/>
                <w:i w:val="0"/>
                <w:iCs w:val="0"/>
                <w:color w:val="auto"/>
                <w:sz w:val="21"/>
                <w:szCs w:val="21"/>
                <w:u w:val="none"/>
              </w:rPr>
            </w:pPr>
          </w:p>
        </w:tc>
      </w:tr>
      <w:tr w14:paraId="400CF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0DF9C">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68D3">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E2C4">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36D7">
            <w:pPr>
              <w:jc w:val="center"/>
              <w:rPr>
                <w:rFonts w:hint="eastAsia" w:ascii="黑体" w:hAnsi="黑体" w:eastAsia="黑体" w:cs="黑体"/>
                <w:i w:val="0"/>
                <w:iCs w:val="0"/>
                <w:color w:val="auto"/>
                <w:sz w:val="21"/>
                <w:szCs w:val="21"/>
                <w:u w:val="none"/>
              </w:rPr>
            </w:pPr>
          </w:p>
        </w:tc>
      </w:tr>
      <w:tr w14:paraId="3547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5F0F1">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照明灯具</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92B0">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956B">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F170">
            <w:pPr>
              <w:jc w:val="center"/>
              <w:rPr>
                <w:rFonts w:hint="eastAsia" w:ascii="黑体" w:hAnsi="黑体" w:eastAsia="黑体" w:cs="黑体"/>
                <w:i w:val="0"/>
                <w:iCs w:val="0"/>
                <w:color w:val="auto"/>
                <w:sz w:val="21"/>
                <w:szCs w:val="21"/>
                <w:u w:val="none"/>
              </w:rPr>
            </w:pPr>
          </w:p>
        </w:tc>
      </w:tr>
      <w:tr w14:paraId="36EF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967E8">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6B55">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161B">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31CB">
            <w:pPr>
              <w:jc w:val="center"/>
              <w:rPr>
                <w:rFonts w:hint="eastAsia" w:ascii="黑体" w:hAnsi="黑体" w:eastAsia="黑体" w:cs="黑体"/>
                <w:i w:val="0"/>
                <w:iCs w:val="0"/>
                <w:color w:val="auto"/>
                <w:sz w:val="21"/>
                <w:szCs w:val="21"/>
                <w:u w:val="none"/>
              </w:rPr>
            </w:pPr>
          </w:p>
        </w:tc>
      </w:tr>
      <w:tr w14:paraId="7556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692F1">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4B6B">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6E01">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8D72">
            <w:pPr>
              <w:jc w:val="center"/>
              <w:rPr>
                <w:rFonts w:hint="eastAsia" w:ascii="黑体" w:hAnsi="黑体" w:eastAsia="黑体" w:cs="黑体"/>
                <w:i w:val="0"/>
                <w:iCs w:val="0"/>
                <w:color w:val="auto"/>
                <w:sz w:val="21"/>
                <w:szCs w:val="21"/>
                <w:u w:val="none"/>
              </w:rPr>
            </w:pPr>
          </w:p>
        </w:tc>
      </w:tr>
      <w:tr w14:paraId="58B3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3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304A6">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开关、插座</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809C">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C0D2">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95B5">
            <w:pPr>
              <w:jc w:val="center"/>
              <w:rPr>
                <w:rFonts w:hint="eastAsia" w:ascii="黑体" w:hAnsi="黑体" w:eastAsia="黑体" w:cs="黑体"/>
                <w:i w:val="0"/>
                <w:iCs w:val="0"/>
                <w:color w:val="auto"/>
                <w:sz w:val="21"/>
                <w:szCs w:val="21"/>
                <w:u w:val="none"/>
              </w:rPr>
            </w:pPr>
          </w:p>
        </w:tc>
      </w:tr>
      <w:tr w14:paraId="22AF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950CE">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BC5E">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2130">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8A4C">
            <w:pPr>
              <w:jc w:val="center"/>
              <w:rPr>
                <w:rFonts w:hint="eastAsia" w:ascii="黑体" w:hAnsi="黑体" w:eastAsia="黑体" w:cs="黑体"/>
                <w:i w:val="0"/>
                <w:iCs w:val="0"/>
                <w:color w:val="auto"/>
                <w:sz w:val="21"/>
                <w:szCs w:val="21"/>
                <w:u w:val="none"/>
              </w:rPr>
            </w:pPr>
          </w:p>
        </w:tc>
      </w:tr>
      <w:tr w14:paraId="01BB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0D03B">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E1CE">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4B4B">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BA51">
            <w:pPr>
              <w:jc w:val="center"/>
              <w:rPr>
                <w:rFonts w:hint="eastAsia" w:ascii="黑体" w:hAnsi="黑体" w:eastAsia="黑体" w:cs="黑体"/>
                <w:i w:val="0"/>
                <w:iCs w:val="0"/>
                <w:color w:val="auto"/>
                <w:sz w:val="21"/>
                <w:szCs w:val="21"/>
                <w:u w:val="none"/>
              </w:rPr>
            </w:pPr>
          </w:p>
        </w:tc>
      </w:tr>
      <w:tr w14:paraId="4012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3170" w:type="dxa"/>
            <w:vMerge w:val="restart"/>
            <w:tcBorders>
              <w:top w:val="single" w:color="000000" w:sz="4" w:space="0"/>
              <w:left w:val="single" w:color="000000" w:sz="4" w:space="0"/>
              <w:right w:val="single" w:color="000000" w:sz="4" w:space="0"/>
            </w:tcBorders>
            <w:shd w:val="clear" w:color="auto" w:fill="auto"/>
            <w:vAlign w:val="center"/>
          </w:tcPr>
          <w:p w14:paraId="4F67F2DF">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电动机</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E85A">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1689">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5B53">
            <w:pPr>
              <w:jc w:val="center"/>
              <w:rPr>
                <w:rFonts w:hint="eastAsia" w:ascii="黑体" w:hAnsi="黑体" w:eastAsia="黑体" w:cs="黑体"/>
                <w:i w:val="0"/>
                <w:iCs w:val="0"/>
                <w:color w:val="auto"/>
                <w:sz w:val="21"/>
                <w:szCs w:val="21"/>
                <w:u w:val="none"/>
              </w:rPr>
            </w:pPr>
          </w:p>
        </w:tc>
      </w:tr>
      <w:tr w14:paraId="5E41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3170" w:type="dxa"/>
            <w:vMerge w:val="continue"/>
            <w:tcBorders>
              <w:left w:val="single" w:color="000000" w:sz="4" w:space="0"/>
              <w:right w:val="single" w:color="000000" w:sz="4" w:space="0"/>
            </w:tcBorders>
            <w:shd w:val="clear" w:color="auto" w:fill="auto"/>
            <w:vAlign w:val="center"/>
          </w:tcPr>
          <w:p w14:paraId="2B2A9E58">
            <w:pPr>
              <w:jc w:val="center"/>
              <w:rPr>
                <w:rFonts w:hint="eastAsia" w:ascii="黑体" w:hAnsi="黑体" w:eastAsia="黑体" w:cs="黑体"/>
                <w:i w:val="0"/>
                <w:iCs w:val="0"/>
                <w:color w:val="auto"/>
                <w:kern w:val="0"/>
                <w:sz w:val="21"/>
                <w:szCs w:val="21"/>
                <w:u w:val="none"/>
                <w:lang w:val="en-US" w:eastAsia="zh-CN" w:bidi="ar"/>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2E7F">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C456">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7251">
            <w:pPr>
              <w:jc w:val="center"/>
              <w:rPr>
                <w:rFonts w:hint="eastAsia" w:ascii="黑体" w:hAnsi="黑体" w:eastAsia="黑体" w:cs="黑体"/>
                <w:i w:val="0"/>
                <w:iCs w:val="0"/>
                <w:color w:val="auto"/>
                <w:sz w:val="21"/>
                <w:szCs w:val="21"/>
                <w:u w:val="none"/>
              </w:rPr>
            </w:pPr>
          </w:p>
        </w:tc>
      </w:tr>
      <w:tr w14:paraId="0FCFB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3170" w:type="dxa"/>
            <w:vMerge w:val="continue"/>
            <w:tcBorders>
              <w:left w:val="single" w:color="000000" w:sz="4" w:space="0"/>
              <w:bottom w:val="single" w:color="000000" w:sz="4" w:space="0"/>
              <w:right w:val="single" w:color="000000" w:sz="4" w:space="0"/>
            </w:tcBorders>
            <w:shd w:val="clear" w:color="auto" w:fill="auto"/>
            <w:vAlign w:val="center"/>
          </w:tcPr>
          <w:p w14:paraId="7DDD573D">
            <w:pPr>
              <w:jc w:val="center"/>
              <w:rPr>
                <w:rFonts w:hint="eastAsia" w:ascii="黑体" w:hAnsi="黑体" w:eastAsia="黑体" w:cs="黑体"/>
                <w:i w:val="0"/>
                <w:iCs w:val="0"/>
                <w:color w:val="auto"/>
                <w:kern w:val="0"/>
                <w:sz w:val="21"/>
                <w:szCs w:val="21"/>
                <w:u w:val="none"/>
                <w:lang w:val="en-US" w:eastAsia="zh-CN" w:bidi="ar"/>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C54A">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3C64">
            <w:pPr>
              <w:jc w:val="center"/>
              <w:rPr>
                <w:rFonts w:hint="eastAsia" w:ascii="黑体" w:hAnsi="黑体" w:eastAsia="黑体" w:cs="黑体"/>
                <w:i w:val="0"/>
                <w:iCs w:val="0"/>
                <w:color w:val="auto"/>
                <w:sz w:val="21"/>
                <w:szCs w:val="21"/>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68AB">
            <w:pPr>
              <w:jc w:val="center"/>
              <w:rPr>
                <w:rFonts w:hint="eastAsia" w:ascii="黑体" w:hAnsi="黑体" w:eastAsia="黑体" w:cs="黑体"/>
                <w:i w:val="0"/>
                <w:iCs w:val="0"/>
                <w:color w:val="auto"/>
                <w:sz w:val="21"/>
                <w:szCs w:val="21"/>
                <w:u w:val="none"/>
              </w:rPr>
            </w:pPr>
          </w:p>
        </w:tc>
      </w:tr>
    </w:tbl>
    <w:p w14:paraId="384DD1DF">
      <w:pPr>
        <w:jc w:val="right"/>
        <w:rPr>
          <w:rFonts w:hint="eastAsia" w:ascii="黑体" w:hAnsi="黑体" w:eastAsia="黑体" w:cs="黑体"/>
          <w:b w:val="0"/>
          <w:bCs w:val="0"/>
          <w:color w:val="auto"/>
          <w:sz w:val="21"/>
          <w:szCs w:val="21"/>
          <w:lang w:val="en-US" w:eastAsia="zh-CN"/>
        </w:rPr>
      </w:pPr>
      <w:r>
        <w:rPr>
          <w:rFonts w:hint="eastAsia" w:ascii="宋体" w:hAnsi="宋体" w:eastAsia="宋体" w:cs="宋体"/>
          <w:color w:val="auto"/>
          <w:sz w:val="21"/>
          <w:szCs w:val="21"/>
          <w:lang w:val="en-US" w:eastAsia="zh-CN"/>
        </w:rPr>
        <w:t>第    页共   页</w:t>
      </w:r>
      <w:r>
        <w:rPr>
          <w:rFonts w:hint="eastAsia" w:ascii="黑体" w:hAnsi="黑体" w:eastAsia="黑体" w:cs="黑体"/>
          <w:b w:val="0"/>
          <w:bCs w:val="0"/>
          <w:color w:val="auto"/>
          <w:sz w:val="21"/>
          <w:szCs w:val="21"/>
          <w:lang w:val="en-US" w:eastAsia="zh-CN"/>
        </w:rPr>
        <w:br w:type="page"/>
      </w:r>
    </w:p>
    <w:tbl>
      <w:tblPr>
        <w:tblStyle w:val="88"/>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7"/>
        <w:gridCol w:w="1773"/>
        <w:gridCol w:w="1513"/>
        <w:gridCol w:w="1623"/>
        <w:gridCol w:w="1268"/>
        <w:gridCol w:w="1786"/>
      </w:tblGrid>
      <w:tr w14:paraId="1193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5780A">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稳压整流设备</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56AF">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0C62">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310C9">
            <w:pPr>
              <w:jc w:val="center"/>
              <w:rPr>
                <w:rFonts w:hint="eastAsia" w:ascii="黑体" w:hAnsi="黑体" w:eastAsia="黑体" w:cs="黑体"/>
                <w:i w:val="0"/>
                <w:iCs w:val="0"/>
                <w:color w:val="auto"/>
                <w:sz w:val="21"/>
                <w:szCs w:val="21"/>
                <w:u w:val="none"/>
              </w:rPr>
            </w:pPr>
          </w:p>
        </w:tc>
      </w:tr>
      <w:tr w14:paraId="01DCC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7C77E">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0A6B">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1CF8">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B140B">
            <w:pPr>
              <w:jc w:val="center"/>
              <w:rPr>
                <w:rFonts w:hint="eastAsia" w:ascii="黑体" w:hAnsi="黑体" w:eastAsia="黑体" w:cs="黑体"/>
                <w:i w:val="0"/>
                <w:iCs w:val="0"/>
                <w:color w:val="auto"/>
                <w:sz w:val="21"/>
                <w:szCs w:val="21"/>
                <w:u w:val="none"/>
              </w:rPr>
            </w:pPr>
          </w:p>
        </w:tc>
      </w:tr>
      <w:tr w14:paraId="5A69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F307F">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4C8C">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EE03">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6FC4F">
            <w:pPr>
              <w:jc w:val="center"/>
              <w:rPr>
                <w:rFonts w:hint="eastAsia" w:ascii="黑体" w:hAnsi="黑体" w:eastAsia="黑体" w:cs="黑体"/>
                <w:i w:val="0"/>
                <w:iCs w:val="0"/>
                <w:color w:val="auto"/>
                <w:sz w:val="21"/>
                <w:szCs w:val="21"/>
                <w:u w:val="none"/>
              </w:rPr>
            </w:pPr>
          </w:p>
        </w:tc>
      </w:tr>
      <w:tr w14:paraId="5B2C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7ADFB">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电热器具</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7558">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10D7">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FCC5A">
            <w:pPr>
              <w:jc w:val="center"/>
              <w:rPr>
                <w:rFonts w:hint="eastAsia" w:ascii="黑体" w:hAnsi="黑体" w:eastAsia="黑体" w:cs="黑体"/>
                <w:i w:val="0"/>
                <w:iCs w:val="0"/>
                <w:color w:val="auto"/>
                <w:sz w:val="21"/>
                <w:szCs w:val="21"/>
                <w:u w:val="none"/>
              </w:rPr>
            </w:pPr>
          </w:p>
        </w:tc>
      </w:tr>
      <w:tr w14:paraId="7987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1AA05">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0B51">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4ED3">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BFC01">
            <w:pPr>
              <w:jc w:val="center"/>
              <w:rPr>
                <w:rFonts w:hint="eastAsia" w:ascii="黑体" w:hAnsi="黑体" w:eastAsia="黑体" w:cs="黑体"/>
                <w:i w:val="0"/>
                <w:iCs w:val="0"/>
                <w:color w:val="auto"/>
                <w:sz w:val="21"/>
                <w:szCs w:val="21"/>
                <w:u w:val="none"/>
              </w:rPr>
            </w:pPr>
          </w:p>
        </w:tc>
      </w:tr>
      <w:tr w14:paraId="1AA4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3762F">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A739">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D818">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935A8">
            <w:pPr>
              <w:jc w:val="center"/>
              <w:rPr>
                <w:rFonts w:hint="eastAsia" w:ascii="黑体" w:hAnsi="黑体" w:eastAsia="黑体" w:cs="黑体"/>
                <w:i w:val="0"/>
                <w:iCs w:val="0"/>
                <w:color w:val="auto"/>
                <w:sz w:val="21"/>
                <w:szCs w:val="21"/>
                <w:u w:val="none"/>
              </w:rPr>
            </w:pPr>
          </w:p>
        </w:tc>
      </w:tr>
      <w:tr w14:paraId="0BBA0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25C6F">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空调设备</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1092">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FA2F">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DEAAF">
            <w:pPr>
              <w:jc w:val="center"/>
              <w:rPr>
                <w:rFonts w:hint="eastAsia" w:ascii="黑体" w:hAnsi="黑体" w:eastAsia="黑体" w:cs="黑体"/>
                <w:i w:val="0"/>
                <w:iCs w:val="0"/>
                <w:color w:val="auto"/>
                <w:sz w:val="21"/>
                <w:szCs w:val="21"/>
                <w:u w:val="none"/>
              </w:rPr>
            </w:pPr>
          </w:p>
        </w:tc>
      </w:tr>
      <w:tr w14:paraId="13A1B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A7C91">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E6B7">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D0F5">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D3C57">
            <w:pPr>
              <w:jc w:val="center"/>
              <w:rPr>
                <w:rFonts w:hint="eastAsia" w:ascii="黑体" w:hAnsi="黑体" w:eastAsia="黑体" w:cs="黑体"/>
                <w:i w:val="0"/>
                <w:iCs w:val="0"/>
                <w:color w:val="auto"/>
                <w:sz w:val="21"/>
                <w:szCs w:val="21"/>
                <w:u w:val="none"/>
              </w:rPr>
            </w:pPr>
          </w:p>
        </w:tc>
      </w:tr>
      <w:tr w14:paraId="6330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5C5A4">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23FD">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8B5B">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E2777">
            <w:pPr>
              <w:jc w:val="center"/>
              <w:rPr>
                <w:rFonts w:hint="eastAsia" w:ascii="黑体" w:hAnsi="黑体" w:eastAsia="黑体" w:cs="黑体"/>
                <w:i w:val="0"/>
                <w:iCs w:val="0"/>
                <w:color w:val="auto"/>
                <w:sz w:val="21"/>
                <w:szCs w:val="21"/>
                <w:u w:val="none"/>
              </w:rPr>
            </w:pPr>
          </w:p>
        </w:tc>
      </w:tr>
      <w:tr w14:paraId="46D3D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248B3">
            <w:pPr>
              <w:keepNext w:val="0"/>
              <w:keepLines w:val="0"/>
              <w:widowControl/>
              <w:suppressLineNumbers w:val="0"/>
              <w:jc w:val="center"/>
              <w:textAlignment w:val="center"/>
              <w:rPr>
                <w:rFonts w:hint="eastAsia" w:ascii="黑体" w:hAnsi="黑体" w:eastAsia="黑体" w:cs="黑体"/>
                <w:i w:val="0"/>
                <w:iCs w:val="0"/>
                <w:color w:val="auto"/>
                <w:kern w:val="2"/>
                <w:sz w:val="21"/>
                <w:szCs w:val="21"/>
                <w:u w:val="none"/>
                <w:lang w:val="en-US" w:eastAsia="zh-CN" w:bidi="ar-SA"/>
              </w:rPr>
            </w:pPr>
            <w:r>
              <w:rPr>
                <w:rFonts w:hint="eastAsia" w:ascii="黑体" w:hAnsi="黑体" w:eastAsia="黑体" w:cs="黑体"/>
                <w:i w:val="0"/>
                <w:iCs w:val="0"/>
                <w:color w:val="auto"/>
                <w:kern w:val="0"/>
                <w:sz w:val="21"/>
                <w:szCs w:val="21"/>
                <w:u w:val="none"/>
                <w:lang w:val="en-US" w:eastAsia="zh-CN" w:bidi="ar"/>
              </w:rPr>
              <w:t>充电设施</w:t>
            </w:r>
          </w:p>
          <w:p w14:paraId="78AADA2F">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8F92">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8D3B">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15707">
            <w:pPr>
              <w:jc w:val="center"/>
              <w:rPr>
                <w:rFonts w:hint="eastAsia" w:ascii="黑体" w:hAnsi="黑体" w:eastAsia="黑体" w:cs="黑体"/>
                <w:i w:val="0"/>
                <w:iCs w:val="0"/>
                <w:color w:val="auto"/>
                <w:sz w:val="21"/>
                <w:szCs w:val="21"/>
                <w:u w:val="none"/>
              </w:rPr>
            </w:pPr>
          </w:p>
        </w:tc>
      </w:tr>
      <w:tr w14:paraId="37EEA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EB63D">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AD06">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A50C">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3EF3D">
            <w:pPr>
              <w:jc w:val="center"/>
              <w:rPr>
                <w:rFonts w:hint="eastAsia" w:ascii="黑体" w:hAnsi="黑体" w:eastAsia="黑体" w:cs="黑体"/>
                <w:i w:val="0"/>
                <w:iCs w:val="0"/>
                <w:color w:val="auto"/>
                <w:sz w:val="21"/>
                <w:szCs w:val="21"/>
                <w:u w:val="none"/>
              </w:rPr>
            </w:pPr>
          </w:p>
        </w:tc>
      </w:tr>
      <w:tr w14:paraId="21BD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4B791">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6C76">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BBB2">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AF0CE">
            <w:pPr>
              <w:jc w:val="center"/>
              <w:rPr>
                <w:rFonts w:hint="eastAsia" w:ascii="黑体" w:hAnsi="黑体" w:eastAsia="黑体" w:cs="黑体"/>
                <w:i w:val="0"/>
                <w:iCs w:val="0"/>
                <w:color w:val="auto"/>
                <w:sz w:val="21"/>
                <w:szCs w:val="21"/>
                <w:u w:val="none"/>
              </w:rPr>
            </w:pPr>
          </w:p>
        </w:tc>
      </w:tr>
      <w:tr w14:paraId="3BA6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FD05B">
            <w:pPr>
              <w:keepNext w:val="0"/>
              <w:keepLines w:val="0"/>
              <w:widowControl/>
              <w:suppressLineNumbers w:val="0"/>
              <w:jc w:val="center"/>
              <w:textAlignment w:val="center"/>
              <w:rPr>
                <w:rFonts w:hint="eastAsia" w:ascii="黑体" w:hAnsi="黑体" w:eastAsia="黑体" w:cs="黑体"/>
                <w:i w:val="0"/>
                <w:iCs w:val="0"/>
                <w:color w:val="auto"/>
                <w:kern w:val="2"/>
                <w:sz w:val="21"/>
                <w:szCs w:val="21"/>
                <w:u w:val="none"/>
                <w:lang w:val="en-US" w:eastAsia="zh-CN" w:bidi="ar-SA"/>
              </w:rPr>
            </w:pPr>
            <w:r>
              <w:rPr>
                <w:rFonts w:hint="eastAsia" w:ascii="黑体" w:hAnsi="黑体" w:eastAsia="黑体" w:cs="黑体"/>
                <w:i w:val="0"/>
                <w:iCs w:val="0"/>
                <w:color w:val="auto"/>
                <w:kern w:val="0"/>
                <w:sz w:val="21"/>
                <w:szCs w:val="21"/>
                <w:u w:val="none"/>
                <w:lang w:val="en-US" w:eastAsia="zh-CN" w:bidi="ar"/>
              </w:rPr>
              <w:t>自备电源装置</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E094">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A6BA">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909BC">
            <w:pPr>
              <w:jc w:val="center"/>
              <w:rPr>
                <w:rFonts w:hint="eastAsia" w:ascii="黑体" w:hAnsi="黑体" w:eastAsia="黑体" w:cs="黑体"/>
                <w:i w:val="0"/>
                <w:iCs w:val="0"/>
                <w:color w:val="auto"/>
                <w:sz w:val="21"/>
                <w:szCs w:val="21"/>
                <w:u w:val="none"/>
              </w:rPr>
            </w:pPr>
          </w:p>
        </w:tc>
      </w:tr>
      <w:tr w14:paraId="2B24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23787">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1346">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86D6">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87BA4">
            <w:pPr>
              <w:jc w:val="center"/>
              <w:rPr>
                <w:rFonts w:hint="eastAsia" w:ascii="黑体" w:hAnsi="黑体" w:eastAsia="黑体" w:cs="黑体"/>
                <w:i w:val="0"/>
                <w:iCs w:val="0"/>
                <w:color w:val="auto"/>
                <w:sz w:val="21"/>
                <w:szCs w:val="21"/>
                <w:u w:val="none"/>
              </w:rPr>
            </w:pPr>
          </w:p>
        </w:tc>
      </w:tr>
      <w:tr w14:paraId="6933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ACC18">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DC6E">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C185">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64261">
            <w:pPr>
              <w:jc w:val="center"/>
              <w:rPr>
                <w:rFonts w:hint="eastAsia" w:ascii="黑体" w:hAnsi="黑体" w:eastAsia="黑体" w:cs="黑体"/>
                <w:i w:val="0"/>
                <w:iCs w:val="0"/>
                <w:color w:val="auto"/>
                <w:sz w:val="21"/>
                <w:szCs w:val="21"/>
                <w:u w:val="none"/>
              </w:rPr>
            </w:pPr>
          </w:p>
        </w:tc>
      </w:tr>
      <w:tr w14:paraId="4AF0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97B7E">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接地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4649">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C29A">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508E6">
            <w:pPr>
              <w:jc w:val="center"/>
              <w:rPr>
                <w:rFonts w:hint="eastAsia" w:ascii="黑体" w:hAnsi="黑体" w:eastAsia="黑体" w:cs="黑体"/>
                <w:i w:val="0"/>
                <w:iCs w:val="0"/>
                <w:color w:val="auto"/>
                <w:sz w:val="21"/>
                <w:szCs w:val="21"/>
                <w:u w:val="none"/>
              </w:rPr>
            </w:pPr>
          </w:p>
        </w:tc>
      </w:tr>
      <w:tr w14:paraId="39C9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DEDFB">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A930">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BDC7">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D315D">
            <w:pPr>
              <w:jc w:val="center"/>
              <w:rPr>
                <w:rFonts w:hint="eastAsia" w:ascii="黑体" w:hAnsi="黑体" w:eastAsia="黑体" w:cs="黑体"/>
                <w:i w:val="0"/>
                <w:iCs w:val="0"/>
                <w:color w:val="auto"/>
                <w:sz w:val="21"/>
                <w:szCs w:val="21"/>
                <w:u w:val="none"/>
              </w:rPr>
            </w:pPr>
          </w:p>
        </w:tc>
      </w:tr>
      <w:tr w14:paraId="2706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663EA">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0A8B">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6B21">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33E77">
            <w:pPr>
              <w:jc w:val="center"/>
              <w:rPr>
                <w:rFonts w:hint="eastAsia" w:ascii="黑体" w:hAnsi="黑体" w:eastAsia="黑体" w:cs="黑体"/>
                <w:i w:val="0"/>
                <w:iCs w:val="0"/>
                <w:color w:val="auto"/>
                <w:sz w:val="21"/>
                <w:szCs w:val="21"/>
                <w:u w:val="none"/>
              </w:rPr>
            </w:pPr>
          </w:p>
        </w:tc>
      </w:tr>
      <w:tr w14:paraId="6510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68666">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等电位联结</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EF96">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A</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6187">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27519">
            <w:pPr>
              <w:jc w:val="center"/>
              <w:rPr>
                <w:rFonts w:hint="eastAsia" w:ascii="黑体" w:hAnsi="黑体" w:eastAsia="黑体" w:cs="黑体"/>
                <w:i w:val="0"/>
                <w:iCs w:val="0"/>
                <w:color w:val="auto"/>
                <w:sz w:val="21"/>
                <w:szCs w:val="21"/>
                <w:u w:val="none"/>
              </w:rPr>
            </w:pPr>
          </w:p>
        </w:tc>
      </w:tr>
      <w:tr w14:paraId="7AC3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3F4CD">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5FC3">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B</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7A99">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935F3">
            <w:pPr>
              <w:jc w:val="center"/>
              <w:rPr>
                <w:rFonts w:hint="eastAsia" w:ascii="黑体" w:hAnsi="黑体" w:eastAsia="黑体" w:cs="黑体"/>
                <w:i w:val="0"/>
                <w:iCs w:val="0"/>
                <w:color w:val="auto"/>
                <w:sz w:val="21"/>
                <w:szCs w:val="21"/>
                <w:u w:val="none"/>
              </w:rPr>
            </w:pPr>
          </w:p>
        </w:tc>
      </w:tr>
      <w:tr w14:paraId="5165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126BB">
            <w:pPr>
              <w:jc w:val="center"/>
              <w:rPr>
                <w:rFonts w:hint="eastAsia" w:ascii="黑体" w:hAnsi="黑体" w:eastAsia="黑体" w:cs="黑体"/>
                <w:i w:val="0"/>
                <w:iCs w:val="0"/>
                <w:color w:val="auto"/>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4DA4">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C</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CB15">
            <w:pPr>
              <w:jc w:val="center"/>
              <w:rPr>
                <w:rFonts w:hint="eastAsia" w:ascii="黑体" w:hAnsi="黑体" w:eastAsia="黑体" w:cs="黑体"/>
                <w:i w:val="0"/>
                <w:iCs w:val="0"/>
                <w:color w:val="auto"/>
                <w:sz w:val="21"/>
                <w:szCs w:val="21"/>
                <w:u w:val="none"/>
              </w:rPr>
            </w:pP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1A457">
            <w:pPr>
              <w:jc w:val="center"/>
              <w:rPr>
                <w:rFonts w:hint="eastAsia" w:ascii="黑体" w:hAnsi="黑体" w:eastAsia="黑体" w:cs="黑体"/>
                <w:i w:val="0"/>
                <w:iCs w:val="0"/>
                <w:color w:val="auto"/>
                <w:sz w:val="21"/>
                <w:szCs w:val="21"/>
                <w:u w:val="none"/>
              </w:rPr>
            </w:pPr>
          </w:p>
        </w:tc>
      </w:tr>
      <w:tr w14:paraId="6BA2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D54198">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综 合 评 定 及 说 明</w:t>
            </w:r>
          </w:p>
        </w:tc>
      </w:tr>
      <w:tr w14:paraId="3460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7" w:hRule="atLeast"/>
          <w:jc w:val="center"/>
        </w:trPr>
        <w:tc>
          <w:tcPr>
            <w:tcW w:w="9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6F617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通过对本项目的以上电气系统进行检测，依据检测结果（详见本报告电气检测情况统计表），经综合评定，本项目已检测的电气防火检测评定结果为：良/中/差。</w:t>
            </w:r>
          </w:p>
          <w:p w14:paraId="139101A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注：1. 由于XX原因，XX系统暂未检测；</w:t>
            </w:r>
          </w:p>
          <w:p w14:paraId="0E593105">
            <w:pPr>
              <w:keepNext w:val="0"/>
              <w:keepLines w:val="0"/>
              <w:pageBreakBefore w:val="0"/>
              <w:widowControl/>
              <w:suppressLineNumbers w:val="0"/>
              <w:kinsoku/>
              <w:wordWrap/>
              <w:overflowPunct/>
              <w:topLinePunct w:val="0"/>
              <w:autoSpaceDE/>
              <w:autoSpaceDN/>
              <w:bidi w:val="0"/>
              <w:adjustRightInd/>
              <w:snapToGrid/>
              <w:spacing w:line="360" w:lineRule="auto"/>
              <w:ind w:firstLine="840" w:firstLineChars="400"/>
              <w:jc w:val="left"/>
              <w:textAlignment w:val="center"/>
              <w:rPr>
                <w:rFonts w:hint="eastAsia" w:ascii="黑体" w:hAnsi="黑体" w:eastAsia="黑体" w:cs="黑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检测机构：XXXXXXXX</w:t>
            </w:r>
          </w:p>
        </w:tc>
      </w:tr>
      <w:tr w14:paraId="1B936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D500">
            <w:pPr>
              <w:keepNext w:val="0"/>
              <w:keepLines w:val="0"/>
              <w:widowControl/>
              <w:suppressLineNumbers w:val="0"/>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检测人员</w:t>
            </w:r>
          </w:p>
        </w:tc>
        <w:tc>
          <w:tcPr>
            <w:tcW w:w="7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F8D93">
            <w:pPr>
              <w:jc w:val="center"/>
              <w:rPr>
                <w:rFonts w:hint="eastAsia" w:ascii="黑体" w:hAnsi="黑体" w:eastAsia="黑体" w:cs="黑体"/>
                <w:i w:val="0"/>
                <w:iCs w:val="0"/>
                <w:color w:val="auto"/>
                <w:sz w:val="21"/>
                <w:szCs w:val="21"/>
                <w:u w:val="none"/>
              </w:rPr>
            </w:pPr>
          </w:p>
        </w:tc>
      </w:tr>
      <w:tr w14:paraId="2768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7AD5">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项目负责人（签字盖章）</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6C0FD2">
            <w:pPr>
              <w:keepNext w:val="0"/>
              <w:keepLines w:val="0"/>
              <w:widowControl/>
              <w:suppressLineNumbers w:val="0"/>
              <w:jc w:val="right"/>
              <w:textAlignment w:val="bottom"/>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 xml:space="preserve">年 </w:t>
            </w:r>
            <w:r>
              <w:rPr>
                <w:rStyle w:val="532"/>
                <w:rFonts w:hint="eastAsia" w:ascii="黑体" w:hAnsi="黑体" w:eastAsia="黑体" w:cs="黑体"/>
                <w:color w:val="auto"/>
                <w:sz w:val="21"/>
                <w:szCs w:val="21"/>
                <w:lang w:val="en-US" w:eastAsia="zh-CN" w:bidi="ar"/>
              </w:rPr>
              <w:t xml:space="preserve"> 月  日</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4C1C">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技术负责人（签字盖章）</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225584">
            <w:pPr>
              <w:keepNext w:val="0"/>
              <w:keepLines w:val="0"/>
              <w:widowControl/>
              <w:suppressLineNumbers w:val="0"/>
              <w:jc w:val="right"/>
              <w:textAlignment w:val="bottom"/>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年  月  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4B1C">
            <w:pPr>
              <w:keepNext w:val="0"/>
              <w:keepLines w:val="0"/>
              <w:widowControl/>
              <w:suppressLineNumbers w:val="0"/>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 xml:space="preserve">批 </w:t>
            </w:r>
            <w:r>
              <w:rPr>
                <w:rStyle w:val="532"/>
                <w:rFonts w:hint="eastAsia" w:ascii="黑体" w:hAnsi="黑体" w:eastAsia="黑体" w:cs="黑体"/>
                <w:color w:val="auto"/>
                <w:sz w:val="21"/>
                <w:szCs w:val="21"/>
                <w:lang w:val="en-US" w:eastAsia="zh-CN" w:bidi="ar"/>
              </w:rPr>
              <w:t xml:space="preserve"> 准</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C0C59E">
            <w:pPr>
              <w:keepNext w:val="0"/>
              <w:keepLines w:val="0"/>
              <w:widowControl/>
              <w:suppressLineNumbers w:val="0"/>
              <w:jc w:val="right"/>
              <w:textAlignment w:val="bottom"/>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 xml:space="preserve">年 </w:t>
            </w:r>
            <w:r>
              <w:rPr>
                <w:rStyle w:val="532"/>
                <w:rFonts w:hint="eastAsia" w:ascii="黑体" w:hAnsi="黑体" w:eastAsia="黑体" w:cs="黑体"/>
                <w:color w:val="auto"/>
                <w:sz w:val="21"/>
                <w:szCs w:val="21"/>
                <w:lang w:val="en-US" w:eastAsia="zh-CN" w:bidi="ar"/>
              </w:rPr>
              <w:t xml:space="preserve"> 月  日</w:t>
            </w:r>
          </w:p>
        </w:tc>
      </w:tr>
    </w:tbl>
    <w:p w14:paraId="2CA9AD9B">
      <w:pPr>
        <w:keepNext w:val="0"/>
        <w:keepLines w:val="0"/>
        <w:pageBreakBefore w:val="0"/>
        <w:widowControl/>
        <w:tabs>
          <w:tab w:val="right" w:leader="dot" w:pos="9337"/>
        </w:tabs>
        <w:kinsoku w:val="0"/>
        <w:wordWrap/>
        <w:overflowPunct/>
        <w:topLinePunct w:val="0"/>
        <w:autoSpaceDE w:val="0"/>
        <w:autoSpaceDN w:val="0"/>
        <w:bidi w:val="0"/>
        <w:adjustRightInd w:val="0"/>
        <w:snapToGrid w:val="0"/>
        <w:spacing w:before="156" w:line="240" w:lineRule="auto"/>
        <w:jc w:val="righ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    页共   页</w:t>
      </w:r>
    </w:p>
    <w:p w14:paraId="68C0FCC3">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30903AB7">
      <w:pPr>
        <w:keepNext w:val="0"/>
        <w:keepLines w:val="0"/>
        <w:pageBreakBefore w:val="0"/>
        <w:widowControl/>
        <w:tabs>
          <w:tab w:val="right" w:leader="dot" w:pos="9337"/>
        </w:tabs>
        <w:kinsoku w:val="0"/>
        <w:wordWrap/>
        <w:overflowPunct/>
        <w:topLinePunct w:val="0"/>
        <w:autoSpaceDE w:val="0"/>
        <w:autoSpaceDN w:val="0"/>
        <w:bidi w:val="0"/>
        <w:adjustRightInd w:val="0"/>
        <w:snapToGrid w:val="0"/>
        <w:spacing w:before="156" w:line="240" w:lineRule="auto"/>
        <w:jc w:val="center"/>
        <w:textAlignment w:val="baseline"/>
        <w:rPr>
          <w:rFonts w:hint="eastAsia"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r>
        <w:rPr>
          <w:rFonts w:hint="eastAsia" w:ascii="黑体" w:hAnsi="黑体" w:eastAsia="黑体" w:cs="黑体"/>
          <w:color w:val="auto"/>
          <w:sz w:val="32"/>
          <w:szCs w:val="32"/>
          <w:lang w:val="en-US" w:eastAsia="zh-CN"/>
        </w:rPr>
        <w:t>建筑电气防火检测报告</w:t>
      </w:r>
    </w:p>
    <w:p w14:paraId="6E360C51">
      <w:pPr>
        <w:keepNext w:val="0"/>
        <w:keepLines w:val="0"/>
        <w:pageBreakBefore w:val="0"/>
        <w:widowControl/>
        <w:kinsoku w:val="0"/>
        <w:wordWrap/>
        <w:overflowPunct/>
        <w:topLinePunct w:val="0"/>
        <w:autoSpaceDE w:val="0"/>
        <w:autoSpaceDN w:val="0"/>
        <w:bidi w:val="0"/>
        <w:adjustRightInd w:val="0"/>
        <w:snapToGrid w:val="0"/>
        <w:spacing w:line="240" w:lineRule="auto"/>
        <w:jc w:val="right"/>
        <w:textAlignment w:val="baseline"/>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报告编号：****-JZDQFHJC-2024***</w:t>
      </w:r>
    </w:p>
    <w:p w14:paraId="38FBAD82">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9"/>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三、建筑电气防火检测情况统计表</w:t>
      </w:r>
    </w:p>
    <w:tbl>
      <w:tblPr>
        <w:tblStyle w:val="89"/>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245"/>
        <w:gridCol w:w="877"/>
        <w:gridCol w:w="4734"/>
        <w:gridCol w:w="855"/>
        <w:gridCol w:w="938"/>
      </w:tblGrid>
      <w:tr w14:paraId="265D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15" w:type="dxa"/>
            <w:vAlign w:val="center"/>
          </w:tcPr>
          <w:p w14:paraId="6E934202">
            <w:pPr>
              <w:widowControl w:val="0"/>
              <w:tabs>
                <w:tab w:val="right" w:leader="dot" w:pos="9337"/>
              </w:tabs>
              <w:spacing w:before="156" w:line="226"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技术要点项编号</w:t>
            </w:r>
          </w:p>
        </w:tc>
        <w:tc>
          <w:tcPr>
            <w:tcW w:w="1245" w:type="dxa"/>
            <w:vAlign w:val="center"/>
          </w:tcPr>
          <w:p w14:paraId="2F72435A">
            <w:pPr>
              <w:widowControl w:val="0"/>
              <w:tabs>
                <w:tab w:val="right" w:leader="dot" w:pos="9337"/>
              </w:tabs>
              <w:spacing w:before="156" w:line="226"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技术要点项</w:t>
            </w:r>
          </w:p>
        </w:tc>
        <w:tc>
          <w:tcPr>
            <w:tcW w:w="877" w:type="dxa"/>
            <w:vAlign w:val="center"/>
          </w:tcPr>
          <w:p w14:paraId="701453C5">
            <w:pPr>
              <w:widowControl w:val="0"/>
              <w:tabs>
                <w:tab w:val="right" w:leader="dot" w:pos="9337"/>
              </w:tabs>
              <w:spacing w:before="156" w:line="226"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危险</w:t>
            </w:r>
          </w:p>
          <w:p w14:paraId="36701B3D">
            <w:pPr>
              <w:widowControl w:val="0"/>
              <w:tabs>
                <w:tab w:val="right" w:leader="dot" w:pos="9337"/>
              </w:tabs>
              <w:spacing w:before="156" w:line="226"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等级</w:t>
            </w:r>
          </w:p>
        </w:tc>
        <w:tc>
          <w:tcPr>
            <w:tcW w:w="4734" w:type="dxa"/>
            <w:vAlign w:val="center"/>
          </w:tcPr>
          <w:p w14:paraId="6DD37EA3">
            <w:pPr>
              <w:widowControl w:val="0"/>
              <w:tabs>
                <w:tab w:val="right" w:leader="dot" w:pos="9337"/>
              </w:tabs>
              <w:spacing w:before="156" w:line="226"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检测判定标准</w:t>
            </w:r>
          </w:p>
        </w:tc>
        <w:tc>
          <w:tcPr>
            <w:tcW w:w="855" w:type="dxa"/>
            <w:vAlign w:val="center"/>
          </w:tcPr>
          <w:p w14:paraId="61FE220B">
            <w:pPr>
              <w:widowControl w:val="0"/>
              <w:tabs>
                <w:tab w:val="right" w:leader="dot" w:pos="9337"/>
              </w:tabs>
              <w:spacing w:before="156" w:line="226"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检测</w:t>
            </w:r>
          </w:p>
          <w:p w14:paraId="24A0E601">
            <w:pPr>
              <w:widowControl w:val="0"/>
              <w:tabs>
                <w:tab w:val="right" w:leader="dot" w:pos="9337"/>
              </w:tabs>
              <w:spacing w:before="156" w:line="226"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数量</w:t>
            </w:r>
          </w:p>
        </w:tc>
        <w:tc>
          <w:tcPr>
            <w:tcW w:w="938" w:type="dxa"/>
            <w:vAlign w:val="center"/>
          </w:tcPr>
          <w:p w14:paraId="1E1F2BE1">
            <w:pPr>
              <w:widowControl w:val="0"/>
              <w:tabs>
                <w:tab w:val="right" w:leader="dot" w:pos="9337"/>
              </w:tabs>
              <w:spacing w:before="156" w:line="226"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不符合</w:t>
            </w:r>
          </w:p>
          <w:p w14:paraId="06475956">
            <w:pPr>
              <w:widowControl w:val="0"/>
              <w:tabs>
                <w:tab w:val="right" w:leader="dot" w:pos="9337"/>
              </w:tabs>
              <w:spacing w:before="156" w:line="226"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数量</w:t>
            </w:r>
          </w:p>
        </w:tc>
      </w:tr>
      <w:tr w14:paraId="172E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2B72020D">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46168D8F">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6D75404C">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3BB17738">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55" w:type="dxa"/>
          </w:tcPr>
          <w:p w14:paraId="30FF28E9">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938" w:type="dxa"/>
          </w:tcPr>
          <w:p w14:paraId="0BAAA849">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0279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705D47E4">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0524BC43">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2A619B21">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282F94D7">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55" w:type="dxa"/>
          </w:tcPr>
          <w:p w14:paraId="001BE2EE">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938" w:type="dxa"/>
          </w:tcPr>
          <w:p w14:paraId="19982DBF">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6C87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4C3C0134">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43A144E8">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547A0EA4">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5362B445">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55" w:type="dxa"/>
          </w:tcPr>
          <w:p w14:paraId="0249FD75">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938" w:type="dxa"/>
          </w:tcPr>
          <w:p w14:paraId="19DF3ED2">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7CD4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03FB4104">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476C39A2">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7FD086F2">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686B8F5B">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55" w:type="dxa"/>
          </w:tcPr>
          <w:p w14:paraId="2E8B910D">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938" w:type="dxa"/>
          </w:tcPr>
          <w:p w14:paraId="15C7092D">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3FFE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12994296">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398EFC86">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31D25A91">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11CC67D3">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55" w:type="dxa"/>
          </w:tcPr>
          <w:p w14:paraId="07D5D16A">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938" w:type="dxa"/>
          </w:tcPr>
          <w:p w14:paraId="499182F3">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44C4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7D50C22E">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2D23FE60">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74E12900">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299EF73F">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55" w:type="dxa"/>
          </w:tcPr>
          <w:p w14:paraId="3EF50DAF">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938" w:type="dxa"/>
          </w:tcPr>
          <w:p w14:paraId="02044A48">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7844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154DB701">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41EA6966">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7351BBAC">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6EF23C86">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55" w:type="dxa"/>
          </w:tcPr>
          <w:p w14:paraId="1EA537D6">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938" w:type="dxa"/>
          </w:tcPr>
          <w:p w14:paraId="28D9ED00">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2FAC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1B53B88E">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4588772A">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38EFF902">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19FF83A9">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55" w:type="dxa"/>
          </w:tcPr>
          <w:p w14:paraId="10FEE4C1">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938" w:type="dxa"/>
          </w:tcPr>
          <w:p w14:paraId="59FDC006">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5249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15381667">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52262069">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5235E9F8">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6B39BE8E">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55" w:type="dxa"/>
          </w:tcPr>
          <w:p w14:paraId="62A6FF83">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938" w:type="dxa"/>
          </w:tcPr>
          <w:p w14:paraId="09772E06">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1581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023A4EA3">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14CE4706">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625B92F4">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7EB06063">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55" w:type="dxa"/>
          </w:tcPr>
          <w:p w14:paraId="17B239A4">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938" w:type="dxa"/>
          </w:tcPr>
          <w:p w14:paraId="6972D0BA">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3610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4F49594D">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60BFCD08">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773A6258">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49B9F10E">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55" w:type="dxa"/>
          </w:tcPr>
          <w:p w14:paraId="729BAC73">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938" w:type="dxa"/>
          </w:tcPr>
          <w:p w14:paraId="0CBAFA37">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119D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681FCD18">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79EDF99C">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0B8FE531">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7B3EBCEF">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55" w:type="dxa"/>
          </w:tcPr>
          <w:p w14:paraId="1D3B2005">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938" w:type="dxa"/>
          </w:tcPr>
          <w:p w14:paraId="0EF83A1B">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6B0D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28333B8A">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59CA521C">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3ECECD04">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17DC85C8">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55" w:type="dxa"/>
          </w:tcPr>
          <w:p w14:paraId="098CA2FF">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938" w:type="dxa"/>
          </w:tcPr>
          <w:p w14:paraId="2D819E6D">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bl>
    <w:p w14:paraId="3E5813D6">
      <w:pPr>
        <w:keepNext w:val="0"/>
        <w:keepLines w:val="0"/>
        <w:pageBreakBefore w:val="0"/>
        <w:widowControl/>
        <w:tabs>
          <w:tab w:val="right" w:leader="dot" w:pos="9337"/>
        </w:tabs>
        <w:kinsoku w:val="0"/>
        <w:wordWrap/>
        <w:overflowPunct/>
        <w:topLinePunct w:val="0"/>
        <w:autoSpaceDE w:val="0"/>
        <w:autoSpaceDN w:val="0"/>
        <w:bidi w:val="0"/>
        <w:adjustRightInd w:val="0"/>
        <w:snapToGrid w:val="0"/>
        <w:spacing w:before="156" w:line="240" w:lineRule="auto"/>
        <w:jc w:val="righ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    页共   页</w:t>
      </w:r>
    </w:p>
    <w:p w14:paraId="1110AE4B">
      <w:pPr>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br w:type="page"/>
      </w:r>
    </w:p>
    <w:p w14:paraId="20A6BD42">
      <w:pPr>
        <w:keepNext w:val="0"/>
        <w:keepLines w:val="0"/>
        <w:pageBreakBefore w:val="0"/>
        <w:widowControl/>
        <w:tabs>
          <w:tab w:val="right" w:leader="dot" w:pos="9337"/>
        </w:tabs>
        <w:kinsoku w:val="0"/>
        <w:wordWrap/>
        <w:overflowPunct/>
        <w:topLinePunct w:val="0"/>
        <w:autoSpaceDE w:val="0"/>
        <w:autoSpaceDN w:val="0"/>
        <w:bidi w:val="0"/>
        <w:adjustRightInd w:val="0"/>
        <w:snapToGrid w:val="0"/>
        <w:spacing w:before="156" w:line="240" w:lineRule="auto"/>
        <w:jc w:val="center"/>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建筑电气防火检测报告</w:t>
      </w:r>
    </w:p>
    <w:p w14:paraId="5D720B63">
      <w:pPr>
        <w:keepNext w:val="0"/>
        <w:keepLines w:val="0"/>
        <w:pageBreakBefore w:val="0"/>
        <w:widowControl/>
        <w:tabs>
          <w:tab w:val="right" w:leader="dot" w:pos="9337"/>
        </w:tabs>
        <w:kinsoku w:val="0"/>
        <w:wordWrap/>
        <w:overflowPunct/>
        <w:topLinePunct w:val="0"/>
        <w:autoSpaceDE w:val="0"/>
        <w:autoSpaceDN w:val="0"/>
        <w:bidi w:val="0"/>
        <w:adjustRightInd w:val="0"/>
        <w:snapToGrid w:val="0"/>
        <w:spacing w:before="156" w:line="240" w:lineRule="auto"/>
        <w:jc w:val="right"/>
        <w:textAlignment w:val="baseline"/>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color w:val="auto"/>
          <w:sz w:val="21"/>
          <w:szCs w:val="21"/>
          <w:lang w:val="en-US" w:eastAsia="zh-CN"/>
        </w:rPr>
        <w:t>报告编号：****-JZDQFHJC-2024***</w:t>
      </w:r>
    </w:p>
    <w:p w14:paraId="10741E71">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9"/>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四、建筑电气防火检测直观检查不符合情况综述</w:t>
      </w:r>
    </w:p>
    <w:tbl>
      <w:tblPr>
        <w:tblStyle w:val="89"/>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245"/>
        <w:gridCol w:w="877"/>
        <w:gridCol w:w="4734"/>
        <w:gridCol w:w="1789"/>
      </w:tblGrid>
      <w:tr w14:paraId="0970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15" w:type="dxa"/>
            <w:vAlign w:val="center"/>
          </w:tcPr>
          <w:p w14:paraId="11975608">
            <w:pPr>
              <w:widowControl w:val="0"/>
              <w:tabs>
                <w:tab w:val="right" w:leader="dot" w:pos="9337"/>
              </w:tabs>
              <w:spacing w:before="156" w:line="226"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技术要点项编号</w:t>
            </w:r>
          </w:p>
        </w:tc>
        <w:tc>
          <w:tcPr>
            <w:tcW w:w="1245" w:type="dxa"/>
            <w:vAlign w:val="center"/>
          </w:tcPr>
          <w:p w14:paraId="1327E9D3">
            <w:pPr>
              <w:widowControl w:val="0"/>
              <w:tabs>
                <w:tab w:val="right" w:leader="dot" w:pos="9337"/>
              </w:tabs>
              <w:spacing w:before="156" w:line="226"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技术要点项</w:t>
            </w:r>
          </w:p>
        </w:tc>
        <w:tc>
          <w:tcPr>
            <w:tcW w:w="877" w:type="dxa"/>
            <w:vAlign w:val="center"/>
          </w:tcPr>
          <w:p w14:paraId="7E66F677">
            <w:pPr>
              <w:widowControl w:val="0"/>
              <w:tabs>
                <w:tab w:val="right" w:leader="dot" w:pos="9337"/>
              </w:tabs>
              <w:spacing w:before="156" w:line="226"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危险</w:t>
            </w:r>
          </w:p>
          <w:p w14:paraId="52300478">
            <w:pPr>
              <w:widowControl w:val="0"/>
              <w:tabs>
                <w:tab w:val="right" w:leader="dot" w:pos="9337"/>
              </w:tabs>
              <w:spacing w:before="156" w:line="226"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等级</w:t>
            </w:r>
          </w:p>
        </w:tc>
        <w:tc>
          <w:tcPr>
            <w:tcW w:w="4734" w:type="dxa"/>
            <w:vAlign w:val="center"/>
          </w:tcPr>
          <w:p w14:paraId="7B7E567E">
            <w:pPr>
              <w:widowControl w:val="0"/>
              <w:tabs>
                <w:tab w:val="right" w:leader="dot" w:pos="9337"/>
              </w:tabs>
              <w:spacing w:before="156" w:line="240"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不符合情况综述</w:t>
            </w:r>
          </w:p>
        </w:tc>
        <w:tc>
          <w:tcPr>
            <w:tcW w:w="1789" w:type="dxa"/>
            <w:vAlign w:val="center"/>
          </w:tcPr>
          <w:p w14:paraId="4805C778">
            <w:pPr>
              <w:widowControl w:val="0"/>
              <w:tabs>
                <w:tab w:val="right" w:leader="dot" w:pos="9337"/>
              </w:tabs>
              <w:spacing w:before="156" w:line="240" w:lineRule="auto"/>
              <w:jc w:val="cente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t>检测点位置</w:t>
            </w:r>
          </w:p>
        </w:tc>
      </w:tr>
      <w:tr w14:paraId="1492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6486BB07">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004E40C1">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00F8232E">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3BEBCD42">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789" w:type="dxa"/>
          </w:tcPr>
          <w:p w14:paraId="5C639A9D">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3FA5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587AE227">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7859BF7E">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7BFDD5CE">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3B8D105B">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789" w:type="dxa"/>
          </w:tcPr>
          <w:p w14:paraId="76BEA971">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24F9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7C49789D">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03ECB59A">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7472C230">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1559A7C5">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789" w:type="dxa"/>
          </w:tcPr>
          <w:p w14:paraId="4D692B31">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65D1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0DC6BD9C">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1DA95A6B">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0C71043A">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1ACE81F8">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789" w:type="dxa"/>
          </w:tcPr>
          <w:p w14:paraId="52CDBB22">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4963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2CC4DEB9">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6B058886">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0C13F9F7">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0EEDD830">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789" w:type="dxa"/>
          </w:tcPr>
          <w:p w14:paraId="4EABB697">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5582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5D7570CA">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1008A5F4">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7BCBBFE2">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6D48326D">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789" w:type="dxa"/>
          </w:tcPr>
          <w:p w14:paraId="7746DA00">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0052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55483809">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6D3935AA">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3D698113">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30779E44">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789" w:type="dxa"/>
          </w:tcPr>
          <w:p w14:paraId="24522B58">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3F80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7D44D16E">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736DCFED">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7E4185E6">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2780E3D6">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789" w:type="dxa"/>
          </w:tcPr>
          <w:p w14:paraId="4F5ABD38">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7852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19964FAF">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3FBB99B6">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42EC346E">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1B0B3497">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789" w:type="dxa"/>
          </w:tcPr>
          <w:p w14:paraId="29B4A255">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3BE0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6FE17B36">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165D72A0">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5379A058">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332D416B">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789" w:type="dxa"/>
          </w:tcPr>
          <w:p w14:paraId="3901B62D">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67F6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69F364E2">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46AB7FAA">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7E18CABB">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6FF6807D">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789" w:type="dxa"/>
          </w:tcPr>
          <w:p w14:paraId="77EBCDD4">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0CF5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1D87CCAA">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4B55685D">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1C4CBFC2">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1F3BBAC1">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789" w:type="dxa"/>
          </w:tcPr>
          <w:p w14:paraId="1E21FD87">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r w14:paraId="65BA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5" w:type="dxa"/>
          </w:tcPr>
          <w:p w14:paraId="0EE35FBF">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245" w:type="dxa"/>
          </w:tcPr>
          <w:p w14:paraId="2A6CF917">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877" w:type="dxa"/>
          </w:tcPr>
          <w:p w14:paraId="61D5DB2C">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4734" w:type="dxa"/>
          </w:tcPr>
          <w:p w14:paraId="2326B06A">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c>
          <w:tcPr>
            <w:tcW w:w="1789" w:type="dxa"/>
          </w:tcPr>
          <w:p w14:paraId="1B202039">
            <w:pPr>
              <w:widowControl w:val="0"/>
              <w:tabs>
                <w:tab w:val="right" w:leader="dot" w:pos="9337"/>
              </w:tabs>
              <w:spacing w:before="156" w:line="226" w:lineRule="auto"/>
              <w:jc w:val="left"/>
              <w:rPr>
                <w:rFonts w:hint="default"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p>
        </w:tc>
      </w:tr>
    </w:tbl>
    <w:p w14:paraId="45B8A46C">
      <w:pPr>
        <w:keepNext w:val="0"/>
        <w:keepLines w:val="0"/>
        <w:pageBreakBefore w:val="0"/>
        <w:widowControl/>
        <w:tabs>
          <w:tab w:val="right" w:leader="dot" w:pos="9337"/>
        </w:tabs>
        <w:kinsoku w:val="0"/>
        <w:wordWrap/>
        <w:overflowPunct/>
        <w:topLinePunct w:val="0"/>
        <w:autoSpaceDE w:val="0"/>
        <w:autoSpaceDN w:val="0"/>
        <w:bidi w:val="0"/>
        <w:adjustRightInd w:val="0"/>
        <w:snapToGrid w:val="0"/>
        <w:spacing w:before="156" w:line="240" w:lineRule="auto"/>
        <w:jc w:val="righ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    页共   页</w:t>
      </w:r>
    </w:p>
    <w:p w14:paraId="3C302E85">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34B17714">
      <w:pPr>
        <w:keepNext w:val="0"/>
        <w:keepLines w:val="0"/>
        <w:pageBreakBefore w:val="0"/>
        <w:widowControl/>
        <w:tabs>
          <w:tab w:val="right" w:leader="dot" w:pos="9337"/>
        </w:tabs>
        <w:kinsoku w:val="0"/>
        <w:wordWrap/>
        <w:overflowPunct/>
        <w:topLinePunct w:val="0"/>
        <w:autoSpaceDE w:val="0"/>
        <w:autoSpaceDN w:val="0"/>
        <w:bidi w:val="0"/>
        <w:adjustRightInd w:val="0"/>
        <w:snapToGrid w:val="0"/>
        <w:spacing w:before="156" w:line="240" w:lineRule="auto"/>
        <w:jc w:val="center"/>
        <w:textAlignment w:val="baseline"/>
        <w:rPr>
          <w:rFonts w:hint="eastAsia" w:asciiTheme="minorEastAsia" w:hAnsiTheme="minorEastAsia" w:eastAsiaTheme="minorEastAsia" w:cstheme="minorEastAsia"/>
          <w:b w:val="0"/>
          <w:bCs w:val="0"/>
          <w:snapToGrid/>
          <w:color w:val="auto"/>
          <w:kern w:val="0"/>
          <w:position w:val="-2"/>
          <w:sz w:val="28"/>
          <w:szCs w:val="28"/>
          <w:u w:val="none"/>
          <w:shd w:val="clear" w:color="auto" w:fill="auto"/>
          <w:vertAlign w:val="baseline"/>
          <w:lang w:val="en-US" w:eastAsia="zh-CN" w:bidi="ar-SA"/>
        </w:rPr>
      </w:pPr>
      <w:r>
        <w:rPr>
          <w:rFonts w:hint="eastAsia" w:ascii="黑体" w:hAnsi="黑体" w:eastAsia="黑体" w:cs="黑体"/>
          <w:color w:val="auto"/>
          <w:sz w:val="32"/>
          <w:szCs w:val="32"/>
          <w:lang w:val="en-US" w:eastAsia="zh-CN"/>
        </w:rPr>
        <w:t>建筑电气防火检测报告</w:t>
      </w:r>
    </w:p>
    <w:p w14:paraId="4CBA1F2C">
      <w:pPr>
        <w:keepNext w:val="0"/>
        <w:keepLines w:val="0"/>
        <w:pageBreakBefore w:val="0"/>
        <w:widowControl/>
        <w:tabs>
          <w:tab w:val="right" w:leader="dot" w:pos="9337"/>
        </w:tabs>
        <w:kinsoku w:val="0"/>
        <w:wordWrap/>
        <w:overflowPunct/>
        <w:topLinePunct w:val="0"/>
        <w:autoSpaceDE w:val="0"/>
        <w:autoSpaceDN w:val="0"/>
        <w:bidi w:val="0"/>
        <w:adjustRightInd w:val="0"/>
        <w:snapToGrid w:val="0"/>
        <w:spacing w:before="156" w:line="240" w:lineRule="auto"/>
        <w:jc w:val="right"/>
        <w:textAlignment w:val="baseline"/>
        <w:rPr>
          <w:rFonts w:hint="eastAsia" w:ascii="黑体" w:hAnsi="黑体" w:eastAsia="黑体" w:cs="黑体"/>
          <w:b w:val="0"/>
          <w:bCs w:val="0"/>
          <w:snapToGrid/>
          <w:color w:val="auto"/>
          <w:kern w:val="0"/>
          <w:position w:val="-2"/>
          <w:sz w:val="21"/>
          <w:szCs w:val="21"/>
          <w:u w:val="none"/>
          <w:shd w:val="clear" w:color="auto" w:fill="auto"/>
          <w:vertAlign w:val="baseline"/>
          <w:lang w:val="en-US" w:eastAsia="zh-CN" w:bidi="ar-SA"/>
        </w:rPr>
      </w:pPr>
      <w:r>
        <w:rPr>
          <w:rFonts w:hint="eastAsia" w:ascii="黑体" w:hAnsi="黑体" w:eastAsia="黑体" w:cs="黑体"/>
          <w:b w:val="0"/>
          <w:bCs w:val="0"/>
          <w:color w:val="auto"/>
          <w:sz w:val="21"/>
          <w:szCs w:val="21"/>
          <w:lang w:val="en-US" w:eastAsia="zh-CN"/>
        </w:rPr>
        <w:t>报告编号：****-JZDQFHJC-2024***</w:t>
      </w:r>
    </w:p>
    <w:p w14:paraId="3E48B62B">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9"/>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五、仪器检测情况记录</w:t>
      </w:r>
    </w:p>
    <w:p w14:paraId="1BECB895">
      <w:pPr>
        <w:keepNext w:val="0"/>
        <w:keepLines w:val="0"/>
        <w:widowControl/>
        <w:suppressLineNumbers w:val="0"/>
        <w:jc w:val="left"/>
        <w:rPr>
          <w:rFonts w:hint="eastAsia" w:ascii="黑体" w:hAnsi="黑体" w:eastAsia="黑体" w:cs="黑体"/>
          <w:b w:val="0"/>
          <w:bCs w:val="0"/>
          <w:color w:val="auto"/>
          <w:sz w:val="21"/>
          <w:szCs w:val="21"/>
          <w:lang w:val="en-US" w:eastAsia="zh-CN"/>
        </w:rPr>
      </w:pPr>
    </w:p>
    <w:p w14:paraId="3AF4F63F">
      <w:pPr>
        <w:keepNext w:val="0"/>
        <w:keepLines w:val="0"/>
        <w:widowControl/>
        <w:suppressLineNumbers w:val="0"/>
        <w:jc w:val="left"/>
        <w:rPr>
          <w:rFonts w:hint="eastAsia" w:ascii="黑体" w:hAnsi="黑体" w:eastAsia="黑体" w:cs="黑体"/>
          <w:b w:val="0"/>
          <w:bCs w:val="0"/>
          <w:snapToGrid w:val="0"/>
          <w:color w:val="auto"/>
          <w:kern w:val="0"/>
          <w:sz w:val="21"/>
          <w:szCs w:val="21"/>
          <w:lang w:val="en-US" w:eastAsia="zh-CN" w:bidi="ar"/>
        </w:rPr>
      </w:pPr>
      <w:r>
        <w:rPr>
          <w:rFonts w:hint="eastAsia" w:ascii="黑体" w:hAnsi="黑体" w:eastAsia="黑体" w:cs="黑体"/>
          <w:b w:val="0"/>
          <w:bCs w:val="0"/>
          <w:color w:val="auto"/>
          <w:sz w:val="21"/>
          <w:szCs w:val="21"/>
          <w:lang w:val="en-US" w:eastAsia="zh-CN"/>
        </w:rPr>
        <w:t>1、</w:t>
      </w:r>
      <w:r>
        <w:rPr>
          <w:rFonts w:hint="eastAsia" w:ascii="黑体" w:hAnsi="黑体" w:eastAsia="黑体" w:cs="黑体"/>
          <w:b w:val="0"/>
          <w:bCs w:val="0"/>
          <w:snapToGrid w:val="0"/>
          <w:color w:val="auto"/>
          <w:kern w:val="0"/>
          <w:sz w:val="21"/>
          <w:szCs w:val="21"/>
          <w:lang w:val="en-US" w:eastAsia="zh-CN" w:bidi="ar"/>
        </w:rPr>
        <w:t>检测部位温升值判定</w:t>
      </w:r>
    </w:p>
    <w:tbl>
      <w:tblPr>
        <w:tblStyle w:val="89"/>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787"/>
        <w:gridCol w:w="1580"/>
        <w:gridCol w:w="1060"/>
        <w:gridCol w:w="1060"/>
        <w:gridCol w:w="1070"/>
        <w:gridCol w:w="1380"/>
        <w:gridCol w:w="960"/>
      </w:tblGrid>
      <w:tr w14:paraId="4E9A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7" w:type="dxa"/>
            <w:vAlign w:val="center"/>
          </w:tcPr>
          <w:p w14:paraId="56E70D5C">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序号</w:t>
            </w:r>
          </w:p>
        </w:tc>
        <w:tc>
          <w:tcPr>
            <w:tcW w:w="1787" w:type="dxa"/>
            <w:vAlign w:val="center"/>
          </w:tcPr>
          <w:p w14:paraId="61EBE05B">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检测部位</w:t>
            </w:r>
          </w:p>
        </w:tc>
        <w:tc>
          <w:tcPr>
            <w:tcW w:w="1580" w:type="dxa"/>
            <w:vAlign w:val="center"/>
          </w:tcPr>
          <w:p w14:paraId="7F108588">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设备编号</w:t>
            </w:r>
          </w:p>
        </w:tc>
        <w:tc>
          <w:tcPr>
            <w:tcW w:w="1060" w:type="dxa"/>
            <w:vAlign w:val="center"/>
          </w:tcPr>
          <w:p w14:paraId="12D19CB9">
            <w:pPr>
              <w:keepNext w:val="0"/>
              <w:keepLines w:val="0"/>
              <w:widowControl/>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环境温度</w:t>
            </w:r>
          </w:p>
          <w:p w14:paraId="31EAF501">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w:t>
            </w:r>
          </w:p>
        </w:tc>
        <w:tc>
          <w:tcPr>
            <w:tcW w:w="1060" w:type="dxa"/>
            <w:vAlign w:val="center"/>
          </w:tcPr>
          <w:p w14:paraId="0D0E5F9B">
            <w:pPr>
              <w:keepNext w:val="0"/>
              <w:keepLines w:val="0"/>
              <w:widowControl/>
              <w:suppressLineNumbers w:val="0"/>
              <w:jc w:val="center"/>
              <w:rPr>
                <w:b w:val="0"/>
                <w:bCs w:val="0"/>
                <w:color w:val="auto"/>
                <w:sz w:val="21"/>
                <w:szCs w:val="21"/>
              </w:rPr>
            </w:pPr>
            <w:r>
              <w:rPr>
                <w:rFonts w:hint="eastAsia" w:ascii="宋体" w:hAnsi="宋体" w:eastAsia="宋体" w:cs="宋体"/>
                <w:b w:val="0"/>
                <w:bCs w:val="0"/>
                <w:snapToGrid w:val="0"/>
                <w:color w:val="auto"/>
                <w:kern w:val="0"/>
                <w:sz w:val="21"/>
                <w:szCs w:val="21"/>
                <w:lang w:val="en-US" w:eastAsia="zh-CN" w:bidi="ar"/>
              </w:rPr>
              <w:t>相对湿度</w:t>
            </w:r>
          </w:p>
          <w:p w14:paraId="2A7E32F0">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 RH</w:t>
            </w:r>
          </w:p>
        </w:tc>
        <w:tc>
          <w:tcPr>
            <w:tcW w:w="1070" w:type="dxa"/>
            <w:vAlign w:val="center"/>
          </w:tcPr>
          <w:p w14:paraId="5D6F561F">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热图编号</w:t>
            </w:r>
          </w:p>
        </w:tc>
        <w:tc>
          <w:tcPr>
            <w:tcW w:w="1380" w:type="dxa"/>
            <w:vAlign w:val="center"/>
          </w:tcPr>
          <w:p w14:paraId="6E0CC46B">
            <w:pPr>
              <w:keepNext w:val="0"/>
              <w:keepLines w:val="0"/>
              <w:widowControl/>
              <w:suppressLineNumbers w:val="0"/>
              <w:jc w:val="center"/>
              <w:rPr>
                <w:b w:val="0"/>
                <w:bCs w:val="0"/>
                <w:color w:val="auto"/>
                <w:sz w:val="21"/>
                <w:szCs w:val="21"/>
              </w:rPr>
            </w:pPr>
            <w:r>
              <w:rPr>
                <w:rFonts w:hint="eastAsia" w:ascii="宋体" w:hAnsi="宋体" w:eastAsia="宋体" w:cs="宋体"/>
                <w:b w:val="0"/>
                <w:bCs w:val="0"/>
                <w:snapToGrid w:val="0"/>
                <w:color w:val="auto"/>
                <w:kern w:val="0"/>
                <w:sz w:val="21"/>
                <w:szCs w:val="21"/>
                <w:lang w:val="en-US" w:eastAsia="zh-CN" w:bidi="ar"/>
              </w:rPr>
              <w:t>设备温度</w:t>
            </w:r>
          </w:p>
          <w:p w14:paraId="419691E2">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最大值（℃）</w:t>
            </w:r>
          </w:p>
        </w:tc>
        <w:tc>
          <w:tcPr>
            <w:tcW w:w="960" w:type="dxa"/>
            <w:vAlign w:val="center"/>
          </w:tcPr>
          <w:p w14:paraId="41720DA4">
            <w:pPr>
              <w:keepNext w:val="0"/>
              <w:keepLines w:val="0"/>
              <w:widowControl/>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温升值</w:t>
            </w:r>
          </w:p>
          <w:p w14:paraId="18D9D000">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判  定</w:t>
            </w:r>
          </w:p>
        </w:tc>
      </w:tr>
      <w:tr w14:paraId="21C1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14:paraId="2D71DFAE">
            <w:pPr>
              <w:keepNext w:val="0"/>
              <w:keepLines w:val="0"/>
              <w:widowControl/>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787" w:type="dxa"/>
          </w:tcPr>
          <w:p w14:paraId="2F2E449B">
            <w:pPr>
              <w:keepNext w:val="0"/>
              <w:keepLines w:val="0"/>
              <w:widowControl/>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580" w:type="dxa"/>
          </w:tcPr>
          <w:p w14:paraId="321406F1">
            <w:pPr>
              <w:keepNext w:val="0"/>
              <w:keepLines w:val="0"/>
              <w:widowControl/>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060" w:type="dxa"/>
          </w:tcPr>
          <w:p w14:paraId="26C01FC0">
            <w:pPr>
              <w:keepNext w:val="0"/>
              <w:keepLines w:val="0"/>
              <w:widowControl/>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060" w:type="dxa"/>
          </w:tcPr>
          <w:p w14:paraId="19599219">
            <w:pPr>
              <w:keepNext w:val="0"/>
              <w:keepLines w:val="0"/>
              <w:widowControl/>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070" w:type="dxa"/>
          </w:tcPr>
          <w:p w14:paraId="0DF9E804">
            <w:pPr>
              <w:keepNext w:val="0"/>
              <w:keepLines w:val="0"/>
              <w:widowControl/>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80" w:type="dxa"/>
          </w:tcPr>
          <w:p w14:paraId="59E40260">
            <w:pPr>
              <w:keepNext w:val="0"/>
              <w:keepLines w:val="0"/>
              <w:widowControl/>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960" w:type="dxa"/>
          </w:tcPr>
          <w:p w14:paraId="1D7FF71D">
            <w:pPr>
              <w:keepNext w:val="0"/>
              <w:keepLines w:val="0"/>
              <w:widowControl/>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bl>
    <w:p w14:paraId="775BFA89">
      <w:pPr>
        <w:keepNext w:val="0"/>
        <w:keepLines w:val="0"/>
        <w:widowControl/>
        <w:suppressLineNumbers w:val="0"/>
        <w:jc w:val="left"/>
        <w:rPr>
          <w:rFonts w:hint="eastAsia" w:ascii="黑体" w:hAnsi="黑体" w:eastAsia="黑体" w:cs="黑体"/>
          <w:color w:val="auto"/>
          <w:sz w:val="21"/>
          <w:szCs w:val="21"/>
        </w:rPr>
      </w:pPr>
      <w:r>
        <w:rPr>
          <w:rFonts w:hint="eastAsia" w:ascii="黑体" w:hAnsi="黑体" w:eastAsia="黑体" w:cs="黑体"/>
          <w:b w:val="0"/>
          <w:bCs w:val="0"/>
          <w:color w:val="auto"/>
          <w:sz w:val="21"/>
          <w:szCs w:val="21"/>
          <w:lang w:val="en-US" w:eastAsia="zh-CN"/>
        </w:rPr>
        <w:t>2、</w:t>
      </w:r>
      <w:r>
        <w:rPr>
          <w:rFonts w:hint="eastAsia" w:ascii="黑体" w:hAnsi="黑体" w:eastAsia="黑体" w:cs="黑体"/>
          <w:b w:val="0"/>
          <w:bCs w:val="0"/>
          <w:snapToGrid w:val="0"/>
          <w:color w:val="auto"/>
          <w:kern w:val="0"/>
          <w:sz w:val="21"/>
          <w:szCs w:val="21"/>
          <w:lang w:val="en-US" w:eastAsia="zh-CN" w:bidi="ar"/>
        </w:rPr>
        <w:t>电压偏差限制、线路安全载流量</w:t>
      </w:r>
    </w:p>
    <w:tbl>
      <w:tblPr>
        <w:tblStyle w:val="89"/>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0"/>
        <w:gridCol w:w="750"/>
        <w:gridCol w:w="788"/>
        <w:gridCol w:w="788"/>
        <w:gridCol w:w="788"/>
        <w:gridCol w:w="788"/>
        <w:gridCol w:w="788"/>
        <w:gridCol w:w="788"/>
        <w:gridCol w:w="792"/>
        <w:gridCol w:w="1570"/>
      </w:tblGrid>
      <w:tr w14:paraId="4171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4" w:type="dxa"/>
            <w:vMerge w:val="restart"/>
            <w:vAlign w:val="center"/>
          </w:tcPr>
          <w:p w14:paraId="50D8FC23">
            <w:pPr>
              <w:keepNext w:val="0"/>
              <w:keepLines w:val="0"/>
              <w:widowControl/>
              <w:suppressLineNumbers w:val="0"/>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b w:val="0"/>
                <w:bCs w:val="0"/>
                <w:snapToGrid w:val="0"/>
                <w:color w:val="auto"/>
                <w:kern w:val="0"/>
                <w:sz w:val="21"/>
                <w:szCs w:val="21"/>
                <w:lang w:val="en-US" w:eastAsia="zh-CN" w:bidi="ar"/>
              </w:rPr>
              <w:t>序号</w:t>
            </w:r>
          </w:p>
        </w:tc>
        <w:tc>
          <w:tcPr>
            <w:tcW w:w="1060" w:type="dxa"/>
            <w:vMerge w:val="restart"/>
            <w:vAlign w:val="center"/>
          </w:tcPr>
          <w:p w14:paraId="1CA7FCD8">
            <w:pPr>
              <w:keepNext w:val="0"/>
              <w:keepLines w:val="0"/>
              <w:widowControl/>
              <w:suppressLineNumbers w:val="0"/>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b w:val="0"/>
                <w:bCs w:val="0"/>
                <w:snapToGrid w:val="0"/>
                <w:color w:val="auto"/>
                <w:kern w:val="0"/>
                <w:sz w:val="21"/>
                <w:szCs w:val="21"/>
                <w:lang w:val="en-US" w:eastAsia="zh-CN" w:bidi="ar"/>
              </w:rPr>
              <w:t>检测部位</w:t>
            </w:r>
          </w:p>
        </w:tc>
        <w:tc>
          <w:tcPr>
            <w:tcW w:w="750" w:type="dxa"/>
            <w:vMerge w:val="restart"/>
            <w:vAlign w:val="center"/>
          </w:tcPr>
          <w:p w14:paraId="5C72DA98">
            <w:pPr>
              <w:keepNext w:val="0"/>
              <w:keepLines w:val="0"/>
              <w:widowControl/>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设备</w:t>
            </w:r>
          </w:p>
          <w:p w14:paraId="7D7E8B04">
            <w:pPr>
              <w:keepNext w:val="0"/>
              <w:keepLines w:val="0"/>
              <w:widowControl/>
              <w:suppressLineNumbers w:val="0"/>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b w:val="0"/>
                <w:bCs w:val="0"/>
                <w:snapToGrid w:val="0"/>
                <w:color w:val="auto"/>
                <w:kern w:val="0"/>
                <w:sz w:val="21"/>
                <w:szCs w:val="21"/>
                <w:lang w:val="en-US" w:eastAsia="zh-CN" w:bidi="ar"/>
              </w:rPr>
              <w:t>编号</w:t>
            </w:r>
          </w:p>
        </w:tc>
        <w:tc>
          <w:tcPr>
            <w:tcW w:w="2364" w:type="dxa"/>
            <w:gridSpan w:val="3"/>
            <w:vAlign w:val="center"/>
          </w:tcPr>
          <w:p w14:paraId="4F9DCE13">
            <w:pPr>
              <w:keepNext w:val="0"/>
              <w:keepLines w:val="0"/>
              <w:widowControl/>
              <w:suppressLineNumbers w:val="0"/>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b w:val="0"/>
                <w:bCs w:val="0"/>
                <w:snapToGrid w:val="0"/>
                <w:color w:val="auto"/>
                <w:kern w:val="0"/>
                <w:sz w:val="21"/>
                <w:szCs w:val="21"/>
                <w:lang w:val="en-US" w:eastAsia="zh-CN" w:bidi="ar"/>
              </w:rPr>
              <w:t>电  压（V）</w:t>
            </w:r>
          </w:p>
        </w:tc>
        <w:tc>
          <w:tcPr>
            <w:tcW w:w="3156" w:type="dxa"/>
            <w:gridSpan w:val="4"/>
            <w:vAlign w:val="center"/>
          </w:tcPr>
          <w:p w14:paraId="5E6821A9">
            <w:pPr>
              <w:keepNext w:val="0"/>
              <w:keepLines w:val="0"/>
              <w:widowControl/>
              <w:suppressLineNumbers w:val="0"/>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b w:val="0"/>
                <w:bCs w:val="0"/>
                <w:snapToGrid w:val="0"/>
                <w:color w:val="auto"/>
                <w:kern w:val="0"/>
                <w:sz w:val="21"/>
                <w:szCs w:val="21"/>
                <w:lang w:val="en-US" w:eastAsia="zh-CN" w:bidi="ar"/>
              </w:rPr>
              <w:t>电  流（A）</w:t>
            </w:r>
          </w:p>
        </w:tc>
        <w:tc>
          <w:tcPr>
            <w:tcW w:w="1570" w:type="dxa"/>
            <w:vMerge w:val="restart"/>
            <w:vAlign w:val="center"/>
          </w:tcPr>
          <w:p w14:paraId="2897461B">
            <w:pPr>
              <w:keepNext w:val="0"/>
              <w:keepLines w:val="0"/>
              <w:widowControl/>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备注</w:t>
            </w:r>
          </w:p>
        </w:tc>
      </w:tr>
      <w:tr w14:paraId="2465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4" w:type="dxa"/>
            <w:vMerge w:val="continue"/>
          </w:tcPr>
          <w:p w14:paraId="4D56EF11">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1060" w:type="dxa"/>
            <w:vMerge w:val="continue"/>
          </w:tcPr>
          <w:p w14:paraId="7EB844AB">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750" w:type="dxa"/>
            <w:vMerge w:val="continue"/>
          </w:tcPr>
          <w:p w14:paraId="3261B6FD">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788" w:type="dxa"/>
            <w:vAlign w:val="center"/>
          </w:tcPr>
          <w:p w14:paraId="6ECE43AC">
            <w:pPr>
              <w:keepNext w:val="0"/>
              <w:keepLines w:val="0"/>
              <w:widowControl/>
              <w:suppressLineNumbers w:val="0"/>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b w:val="0"/>
                <w:bCs w:val="0"/>
                <w:snapToGrid w:val="0"/>
                <w:color w:val="auto"/>
                <w:kern w:val="0"/>
                <w:sz w:val="21"/>
                <w:szCs w:val="21"/>
                <w:lang w:val="en-US" w:eastAsia="zh-CN" w:bidi="ar"/>
              </w:rPr>
              <w:t>U</w:t>
            </w:r>
            <w:r>
              <w:rPr>
                <w:rFonts w:hint="eastAsia" w:ascii="宋体" w:hAnsi="宋体" w:eastAsia="宋体" w:cs="宋体"/>
                <w:b w:val="0"/>
                <w:bCs w:val="0"/>
                <w:snapToGrid w:val="0"/>
                <w:color w:val="auto"/>
                <w:kern w:val="0"/>
                <w:sz w:val="15"/>
                <w:szCs w:val="15"/>
                <w:lang w:val="en-US" w:eastAsia="zh-CN" w:bidi="ar"/>
              </w:rPr>
              <w:t>AB</w:t>
            </w:r>
          </w:p>
        </w:tc>
        <w:tc>
          <w:tcPr>
            <w:tcW w:w="788" w:type="dxa"/>
            <w:vAlign w:val="center"/>
          </w:tcPr>
          <w:p w14:paraId="0CA0B950">
            <w:pPr>
              <w:keepNext w:val="0"/>
              <w:keepLines w:val="0"/>
              <w:widowControl/>
              <w:suppressLineNumbers w:val="0"/>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b w:val="0"/>
                <w:bCs w:val="0"/>
                <w:snapToGrid w:val="0"/>
                <w:color w:val="auto"/>
                <w:kern w:val="0"/>
                <w:sz w:val="21"/>
                <w:szCs w:val="21"/>
                <w:lang w:val="en-US" w:eastAsia="zh-CN" w:bidi="ar"/>
              </w:rPr>
              <w:t>U</w:t>
            </w:r>
            <w:r>
              <w:rPr>
                <w:rFonts w:hint="eastAsia" w:ascii="宋体" w:hAnsi="宋体" w:eastAsia="宋体" w:cs="宋体"/>
                <w:b w:val="0"/>
                <w:bCs w:val="0"/>
                <w:snapToGrid w:val="0"/>
                <w:color w:val="auto"/>
                <w:kern w:val="0"/>
                <w:sz w:val="15"/>
                <w:szCs w:val="15"/>
                <w:lang w:val="en-US" w:eastAsia="zh-CN" w:bidi="ar"/>
              </w:rPr>
              <w:t>BC</w:t>
            </w:r>
          </w:p>
        </w:tc>
        <w:tc>
          <w:tcPr>
            <w:tcW w:w="788" w:type="dxa"/>
            <w:vAlign w:val="center"/>
          </w:tcPr>
          <w:p w14:paraId="1244B824">
            <w:pPr>
              <w:keepNext w:val="0"/>
              <w:keepLines w:val="0"/>
              <w:widowControl/>
              <w:suppressLineNumbers w:val="0"/>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b w:val="0"/>
                <w:bCs w:val="0"/>
                <w:snapToGrid w:val="0"/>
                <w:color w:val="auto"/>
                <w:kern w:val="0"/>
                <w:sz w:val="21"/>
                <w:szCs w:val="21"/>
                <w:lang w:val="en-US" w:eastAsia="zh-CN" w:bidi="ar"/>
              </w:rPr>
              <w:t>U</w:t>
            </w:r>
            <w:r>
              <w:rPr>
                <w:rFonts w:hint="eastAsia" w:ascii="宋体" w:hAnsi="宋体" w:eastAsia="宋体" w:cs="宋体"/>
                <w:b w:val="0"/>
                <w:bCs w:val="0"/>
                <w:snapToGrid w:val="0"/>
                <w:color w:val="auto"/>
                <w:kern w:val="0"/>
                <w:sz w:val="15"/>
                <w:szCs w:val="15"/>
                <w:lang w:val="en-US" w:eastAsia="zh-CN" w:bidi="ar"/>
              </w:rPr>
              <w:t>AC</w:t>
            </w:r>
          </w:p>
        </w:tc>
        <w:tc>
          <w:tcPr>
            <w:tcW w:w="788" w:type="dxa"/>
            <w:vAlign w:val="center"/>
          </w:tcPr>
          <w:p w14:paraId="6FAF2422">
            <w:pPr>
              <w:keepNext w:val="0"/>
              <w:keepLines w:val="0"/>
              <w:widowControl/>
              <w:suppressLineNumbers w:val="0"/>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b w:val="0"/>
                <w:bCs w:val="0"/>
                <w:snapToGrid w:val="0"/>
                <w:color w:val="auto"/>
                <w:kern w:val="0"/>
                <w:sz w:val="21"/>
                <w:szCs w:val="21"/>
                <w:lang w:val="en-US" w:eastAsia="zh-CN" w:bidi="ar"/>
              </w:rPr>
              <w:t>I</w:t>
            </w:r>
            <w:r>
              <w:rPr>
                <w:rFonts w:hint="eastAsia" w:ascii="宋体" w:hAnsi="宋体" w:eastAsia="宋体" w:cs="宋体"/>
                <w:b w:val="0"/>
                <w:bCs w:val="0"/>
                <w:snapToGrid w:val="0"/>
                <w:color w:val="auto"/>
                <w:kern w:val="0"/>
                <w:sz w:val="15"/>
                <w:szCs w:val="15"/>
                <w:lang w:val="en-US" w:eastAsia="zh-CN" w:bidi="ar"/>
              </w:rPr>
              <w:t>A</w:t>
            </w:r>
          </w:p>
        </w:tc>
        <w:tc>
          <w:tcPr>
            <w:tcW w:w="788" w:type="dxa"/>
            <w:vAlign w:val="center"/>
          </w:tcPr>
          <w:p w14:paraId="40BFFB3B">
            <w:pPr>
              <w:keepNext w:val="0"/>
              <w:keepLines w:val="0"/>
              <w:widowControl/>
              <w:suppressLineNumbers w:val="0"/>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b w:val="0"/>
                <w:bCs w:val="0"/>
                <w:snapToGrid w:val="0"/>
                <w:color w:val="auto"/>
                <w:kern w:val="0"/>
                <w:sz w:val="21"/>
                <w:szCs w:val="21"/>
                <w:lang w:val="en-US" w:eastAsia="zh-CN" w:bidi="ar"/>
              </w:rPr>
              <w:t>I</w:t>
            </w:r>
            <w:r>
              <w:rPr>
                <w:rFonts w:hint="eastAsia" w:ascii="宋体" w:hAnsi="宋体" w:eastAsia="宋体" w:cs="宋体"/>
                <w:b w:val="0"/>
                <w:bCs w:val="0"/>
                <w:snapToGrid w:val="0"/>
                <w:color w:val="auto"/>
                <w:kern w:val="0"/>
                <w:sz w:val="15"/>
                <w:szCs w:val="15"/>
                <w:lang w:val="en-US" w:eastAsia="zh-CN" w:bidi="ar"/>
              </w:rPr>
              <w:t>B</w:t>
            </w:r>
          </w:p>
        </w:tc>
        <w:tc>
          <w:tcPr>
            <w:tcW w:w="788" w:type="dxa"/>
            <w:vAlign w:val="center"/>
          </w:tcPr>
          <w:p w14:paraId="2F134917">
            <w:pPr>
              <w:keepNext w:val="0"/>
              <w:keepLines w:val="0"/>
              <w:widowControl/>
              <w:suppressLineNumbers w:val="0"/>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b w:val="0"/>
                <w:bCs w:val="0"/>
                <w:snapToGrid w:val="0"/>
                <w:color w:val="auto"/>
                <w:kern w:val="0"/>
                <w:sz w:val="21"/>
                <w:szCs w:val="21"/>
                <w:lang w:val="en-US" w:eastAsia="zh-CN" w:bidi="ar"/>
              </w:rPr>
              <w:t>I</w:t>
            </w:r>
            <w:r>
              <w:rPr>
                <w:rFonts w:hint="eastAsia" w:ascii="宋体" w:hAnsi="宋体" w:eastAsia="宋体" w:cs="宋体"/>
                <w:b w:val="0"/>
                <w:bCs w:val="0"/>
                <w:snapToGrid w:val="0"/>
                <w:color w:val="auto"/>
                <w:kern w:val="0"/>
                <w:sz w:val="15"/>
                <w:szCs w:val="15"/>
                <w:lang w:val="en-US" w:eastAsia="zh-CN" w:bidi="ar"/>
              </w:rPr>
              <w:t>C</w:t>
            </w:r>
          </w:p>
        </w:tc>
        <w:tc>
          <w:tcPr>
            <w:tcW w:w="792" w:type="dxa"/>
            <w:vAlign w:val="center"/>
          </w:tcPr>
          <w:p w14:paraId="5C1A32F2">
            <w:pPr>
              <w:keepNext w:val="0"/>
              <w:keepLines w:val="0"/>
              <w:widowControl/>
              <w:suppressLineNumbers w:val="0"/>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b w:val="0"/>
                <w:bCs w:val="0"/>
                <w:snapToGrid w:val="0"/>
                <w:color w:val="auto"/>
                <w:kern w:val="0"/>
                <w:sz w:val="21"/>
                <w:szCs w:val="21"/>
                <w:lang w:val="en-US" w:eastAsia="zh-CN" w:bidi="ar"/>
              </w:rPr>
              <w:t>I</w:t>
            </w:r>
            <w:r>
              <w:rPr>
                <w:rFonts w:hint="eastAsia" w:ascii="宋体" w:hAnsi="宋体" w:eastAsia="宋体" w:cs="宋体"/>
                <w:b w:val="0"/>
                <w:bCs w:val="0"/>
                <w:snapToGrid w:val="0"/>
                <w:color w:val="auto"/>
                <w:kern w:val="0"/>
                <w:sz w:val="15"/>
                <w:szCs w:val="15"/>
                <w:lang w:val="en-US" w:eastAsia="zh-CN" w:bidi="ar"/>
              </w:rPr>
              <w:t>N</w:t>
            </w:r>
          </w:p>
        </w:tc>
        <w:tc>
          <w:tcPr>
            <w:tcW w:w="1570" w:type="dxa"/>
            <w:vMerge w:val="continue"/>
            <w:vAlign w:val="center"/>
          </w:tcPr>
          <w:p w14:paraId="3BA2740C">
            <w:pPr>
              <w:keepNext w:val="0"/>
              <w:keepLines w:val="0"/>
              <w:widowControl/>
              <w:suppressLineNumbers w:val="0"/>
              <w:jc w:val="center"/>
              <w:rPr>
                <w:rFonts w:hint="eastAsia" w:ascii="宋体" w:hAnsi="宋体" w:eastAsia="宋体" w:cs="宋体"/>
                <w:b w:val="0"/>
                <w:bCs w:val="0"/>
                <w:snapToGrid w:val="0"/>
                <w:color w:val="auto"/>
                <w:kern w:val="0"/>
                <w:sz w:val="21"/>
                <w:szCs w:val="21"/>
                <w:lang w:val="en-US" w:eastAsia="zh-CN" w:bidi="ar"/>
              </w:rPr>
            </w:pPr>
          </w:p>
        </w:tc>
      </w:tr>
      <w:tr w14:paraId="400A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44" w:type="dxa"/>
          </w:tcPr>
          <w:p w14:paraId="5AD9BFE0">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1060" w:type="dxa"/>
          </w:tcPr>
          <w:p w14:paraId="4AE43D87">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750" w:type="dxa"/>
          </w:tcPr>
          <w:p w14:paraId="4F02B3C0">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788" w:type="dxa"/>
          </w:tcPr>
          <w:p w14:paraId="2E025A8E">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788" w:type="dxa"/>
          </w:tcPr>
          <w:p w14:paraId="7D713619">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788" w:type="dxa"/>
          </w:tcPr>
          <w:p w14:paraId="61F942C8">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788" w:type="dxa"/>
          </w:tcPr>
          <w:p w14:paraId="79FE0C49">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788" w:type="dxa"/>
          </w:tcPr>
          <w:p w14:paraId="39D531CC">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788" w:type="dxa"/>
          </w:tcPr>
          <w:p w14:paraId="79DFA36C">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792" w:type="dxa"/>
          </w:tcPr>
          <w:p w14:paraId="7E01C20A">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1570" w:type="dxa"/>
          </w:tcPr>
          <w:p w14:paraId="01C86727">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r>
    </w:tbl>
    <w:p w14:paraId="32BDFEF5">
      <w:pPr>
        <w:keepNext w:val="0"/>
        <w:keepLines w:val="0"/>
        <w:widowControl/>
        <w:suppressLineNumbers w:val="0"/>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3、接地电阻值及漏电流值测定</w:t>
      </w:r>
    </w:p>
    <w:tbl>
      <w:tblPr>
        <w:tblStyle w:val="89"/>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800"/>
        <w:gridCol w:w="1590"/>
        <w:gridCol w:w="1963"/>
        <w:gridCol w:w="1963"/>
        <w:gridCol w:w="1594"/>
      </w:tblGrid>
      <w:tr w14:paraId="71D8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35EA73C6">
            <w:pPr>
              <w:keepNext w:val="0"/>
              <w:keepLines w:val="0"/>
              <w:widowControl/>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序号</w:t>
            </w:r>
          </w:p>
        </w:tc>
        <w:tc>
          <w:tcPr>
            <w:tcW w:w="1800" w:type="dxa"/>
            <w:vAlign w:val="center"/>
          </w:tcPr>
          <w:p w14:paraId="31125FC5">
            <w:pPr>
              <w:keepNext w:val="0"/>
              <w:keepLines w:val="0"/>
              <w:widowControl/>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检测部位</w:t>
            </w:r>
          </w:p>
        </w:tc>
        <w:tc>
          <w:tcPr>
            <w:tcW w:w="1590" w:type="dxa"/>
            <w:vAlign w:val="center"/>
          </w:tcPr>
          <w:p w14:paraId="4860CFFD">
            <w:pPr>
              <w:keepNext w:val="0"/>
              <w:keepLines w:val="0"/>
              <w:widowControl/>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设备编号</w:t>
            </w:r>
          </w:p>
        </w:tc>
        <w:tc>
          <w:tcPr>
            <w:tcW w:w="1963" w:type="dxa"/>
            <w:vAlign w:val="center"/>
          </w:tcPr>
          <w:p w14:paraId="022998C4">
            <w:pPr>
              <w:keepNext w:val="0"/>
              <w:keepLines w:val="0"/>
              <w:widowControl/>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漏电流（mA）</w:t>
            </w:r>
          </w:p>
        </w:tc>
        <w:tc>
          <w:tcPr>
            <w:tcW w:w="1963" w:type="dxa"/>
            <w:vAlign w:val="center"/>
          </w:tcPr>
          <w:p w14:paraId="2EAC92FF">
            <w:pPr>
              <w:keepNext w:val="0"/>
              <w:keepLines w:val="0"/>
              <w:widowControl/>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接地电阻（Ω）</w:t>
            </w:r>
          </w:p>
        </w:tc>
        <w:tc>
          <w:tcPr>
            <w:tcW w:w="1594" w:type="dxa"/>
            <w:vAlign w:val="center"/>
          </w:tcPr>
          <w:p w14:paraId="59B61C71">
            <w:pPr>
              <w:keepNext w:val="0"/>
              <w:keepLines w:val="0"/>
              <w:widowControl/>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备   注</w:t>
            </w:r>
          </w:p>
        </w:tc>
      </w:tr>
      <w:tr w14:paraId="4CD8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54" w:type="dxa"/>
          </w:tcPr>
          <w:p w14:paraId="3860FD22">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lang w:val="en-US" w:eastAsia="zh-CN" w:bidi="ar"/>
              </w:rPr>
            </w:pPr>
          </w:p>
        </w:tc>
        <w:tc>
          <w:tcPr>
            <w:tcW w:w="1800" w:type="dxa"/>
          </w:tcPr>
          <w:p w14:paraId="31F7F931">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lang w:val="en-US" w:eastAsia="zh-CN" w:bidi="ar"/>
              </w:rPr>
            </w:pPr>
          </w:p>
        </w:tc>
        <w:tc>
          <w:tcPr>
            <w:tcW w:w="1590" w:type="dxa"/>
          </w:tcPr>
          <w:p w14:paraId="5BF96643">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lang w:val="en-US" w:eastAsia="zh-CN" w:bidi="ar"/>
              </w:rPr>
            </w:pPr>
          </w:p>
        </w:tc>
        <w:tc>
          <w:tcPr>
            <w:tcW w:w="1963" w:type="dxa"/>
          </w:tcPr>
          <w:p w14:paraId="6C27467C">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lang w:val="en-US" w:eastAsia="zh-CN" w:bidi="ar"/>
              </w:rPr>
            </w:pPr>
          </w:p>
        </w:tc>
        <w:tc>
          <w:tcPr>
            <w:tcW w:w="1963" w:type="dxa"/>
          </w:tcPr>
          <w:p w14:paraId="7FCD94C7">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lang w:val="en-US" w:eastAsia="zh-CN" w:bidi="ar"/>
              </w:rPr>
            </w:pPr>
          </w:p>
        </w:tc>
        <w:tc>
          <w:tcPr>
            <w:tcW w:w="1594" w:type="dxa"/>
          </w:tcPr>
          <w:p w14:paraId="2D90AE68">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lang w:val="en-US" w:eastAsia="zh-CN" w:bidi="ar"/>
              </w:rPr>
            </w:pPr>
          </w:p>
        </w:tc>
      </w:tr>
    </w:tbl>
    <w:p w14:paraId="7BD00591">
      <w:pPr>
        <w:keepNext w:val="0"/>
        <w:keepLines w:val="0"/>
        <w:widowControl/>
        <w:suppressLineNumbers w:val="0"/>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4、电能质量测试</w:t>
      </w:r>
    </w:p>
    <w:tbl>
      <w:tblPr>
        <w:tblStyle w:val="89"/>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90"/>
        <w:gridCol w:w="1575"/>
        <w:gridCol w:w="1315"/>
        <w:gridCol w:w="1315"/>
        <w:gridCol w:w="1315"/>
        <w:gridCol w:w="1605"/>
      </w:tblGrid>
      <w:tr w14:paraId="08EC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restart"/>
            <w:vAlign w:val="center"/>
          </w:tcPr>
          <w:p w14:paraId="77EE1866">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序号</w:t>
            </w:r>
          </w:p>
        </w:tc>
        <w:tc>
          <w:tcPr>
            <w:tcW w:w="3365" w:type="dxa"/>
            <w:gridSpan w:val="2"/>
            <w:vMerge w:val="restart"/>
            <w:vAlign w:val="center"/>
          </w:tcPr>
          <w:p w14:paraId="62EED44E">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检测项目</w:t>
            </w:r>
          </w:p>
        </w:tc>
        <w:tc>
          <w:tcPr>
            <w:tcW w:w="3945" w:type="dxa"/>
            <w:gridSpan w:val="3"/>
            <w:vAlign w:val="center"/>
          </w:tcPr>
          <w:p w14:paraId="4E4B4F11">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测试值</w:t>
            </w:r>
          </w:p>
        </w:tc>
        <w:tc>
          <w:tcPr>
            <w:tcW w:w="1605" w:type="dxa"/>
            <w:vMerge w:val="restart"/>
            <w:vAlign w:val="center"/>
          </w:tcPr>
          <w:p w14:paraId="594218B1">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备注</w:t>
            </w:r>
          </w:p>
        </w:tc>
      </w:tr>
      <w:tr w14:paraId="2ADB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tcPr>
          <w:p w14:paraId="5489A8CA">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3365" w:type="dxa"/>
            <w:gridSpan w:val="2"/>
            <w:vMerge w:val="continue"/>
          </w:tcPr>
          <w:p w14:paraId="546FA5E9">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vAlign w:val="center"/>
          </w:tcPr>
          <w:p w14:paraId="55150654">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A 相</w:t>
            </w:r>
          </w:p>
        </w:tc>
        <w:tc>
          <w:tcPr>
            <w:tcW w:w="1315" w:type="dxa"/>
            <w:vAlign w:val="center"/>
          </w:tcPr>
          <w:p w14:paraId="59E35EEB">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B相</w:t>
            </w:r>
          </w:p>
        </w:tc>
        <w:tc>
          <w:tcPr>
            <w:tcW w:w="1315" w:type="dxa"/>
            <w:vAlign w:val="center"/>
          </w:tcPr>
          <w:p w14:paraId="7C7388F9">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C 相</w:t>
            </w:r>
          </w:p>
        </w:tc>
        <w:tc>
          <w:tcPr>
            <w:tcW w:w="1605" w:type="dxa"/>
            <w:vMerge w:val="continue"/>
            <w:vAlign w:val="center"/>
          </w:tcPr>
          <w:p w14:paraId="264E3EE4">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p>
        </w:tc>
      </w:tr>
      <w:tr w14:paraId="311B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555C67B6">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1</w:t>
            </w:r>
          </w:p>
        </w:tc>
        <w:tc>
          <w:tcPr>
            <w:tcW w:w="3365" w:type="dxa"/>
            <w:gridSpan w:val="2"/>
            <w:vAlign w:val="center"/>
          </w:tcPr>
          <w:p w14:paraId="56F27F88">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电压值（V）</w:t>
            </w:r>
          </w:p>
        </w:tc>
        <w:tc>
          <w:tcPr>
            <w:tcW w:w="1315" w:type="dxa"/>
          </w:tcPr>
          <w:p w14:paraId="40178B82">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592E2086">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20C09B13">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0151EDF9">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04C0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55CC2229">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2</w:t>
            </w:r>
          </w:p>
        </w:tc>
        <w:tc>
          <w:tcPr>
            <w:tcW w:w="3365" w:type="dxa"/>
            <w:gridSpan w:val="2"/>
            <w:vAlign w:val="center"/>
          </w:tcPr>
          <w:p w14:paraId="623180E9">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电压不平衡度（%）</w:t>
            </w:r>
          </w:p>
        </w:tc>
        <w:tc>
          <w:tcPr>
            <w:tcW w:w="1315" w:type="dxa"/>
          </w:tcPr>
          <w:p w14:paraId="119BB31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76961A7E">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66064130">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2FAA09FA">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3CC9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2363304E">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3</w:t>
            </w:r>
          </w:p>
        </w:tc>
        <w:tc>
          <w:tcPr>
            <w:tcW w:w="3365" w:type="dxa"/>
            <w:gridSpan w:val="2"/>
            <w:vAlign w:val="center"/>
          </w:tcPr>
          <w:p w14:paraId="3932EE21">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电流值（A）</w:t>
            </w:r>
          </w:p>
        </w:tc>
        <w:tc>
          <w:tcPr>
            <w:tcW w:w="1315" w:type="dxa"/>
          </w:tcPr>
          <w:p w14:paraId="40C49550">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1C49E051">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080B7D75">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6817BF60">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2D14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486C08C2">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4</w:t>
            </w:r>
          </w:p>
        </w:tc>
        <w:tc>
          <w:tcPr>
            <w:tcW w:w="3365" w:type="dxa"/>
            <w:gridSpan w:val="2"/>
            <w:vAlign w:val="center"/>
          </w:tcPr>
          <w:p w14:paraId="38C66ECC">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电流不平衡度（%）</w:t>
            </w:r>
          </w:p>
        </w:tc>
        <w:tc>
          <w:tcPr>
            <w:tcW w:w="1315" w:type="dxa"/>
          </w:tcPr>
          <w:p w14:paraId="52DB819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2ADF5007">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3BAADC8A">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4487FF4E">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0B00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238DEFB5">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5</w:t>
            </w:r>
          </w:p>
        </w:tc>
        <w:tc>
          <w:tcPr>
            <w:tcW w:w="3365" w:type="dxa"/>
            <w:gridSpan w:val="2"/>
            <w:vAlign w:val="center"/>
          </w:tcPr>
          <w:p w14:paraId="03434DE1">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功率因数</w:t>
            </w:r>
          </w:p>
        </w:tc>
        <w:tc>
          <w:tcPr>
            <w:tcW w:w="1315" w:type="dxa"/>
          </w:tcPr>
          <w:p w14:paraId="362AD255">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57462AFC">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3D1D17B0">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1830983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43B3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488770B7">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6</w:t>
            </w:r>
          </w:p>
        </w:tc>
        <w:tc>
          <w:tcPr>
            <w:tcW w:w="3365" w:type="dxa"/>
            <w:gridSpan w:val="2"/>
            <w:vAlign w:val="center"/>
          </w:tcPr>
          <w:p w14:paraId="49C0E48B">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频率（Hz）</w:t>
            </w:r>
          </w:p>
        </w:tc>
        <w:tc>
          <w:tcPr>
            <w:tcW w:w="1315" w:type="dxa"/>
          </w:tcPr>
          <w:p w14:paraId="0B0E8D1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4454229F">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00CD8B61">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39F46B7B">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18EA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5E3041E8">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7</w:t>
            </w:r>
          </w:p>
        </w:tc>
        <w:tc>
          <w:tcPr>
            <w:tcW w:w="3365" w:type="dxa"/>
            <w:gridSpan w:val="2"/>
            <w:vAlign w:val="center"/>
          </w:tcPr>
          <w:p w14:paraId="61AD2445">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频率偏差（Hz）</w:t>
            </w:r>
          </w:p>
        </w:tc>
        <w:tc>
          <w:tcPr>
            <w:tcW w:w="1315" w:type="dxa"/>
          </w:tcPr>
          <w:p w14:paraId="184290F4">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30E528AD">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6CFC0A1F">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666E8820">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7DD5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4705366B">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8</w:t>
            </w:r>
          </w:p>
        </w:tc>
        <w:tc>
          <w:tcPr>
            <w:tcW w:w="3365" w:type="dxa"/>
            <w:gridSpan w:val="2"/>
            <w:vAlign w:val="center"/>
          </w:tcPr>
          <w:p w14:paraId="44BF0552">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电压谐波畸变总量（%）</w:t>
            </w:r>
          </w:p>
        </w:tc>
        <w:tc>
          <w:tcPr>
            <w:tcW w:w="1315" w:type="dxa"/>
          </w:tcPr>
          <w:p w14:paraId="3B7D4531">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4979E47D">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26DB11CE">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3FE098A5">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7393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restart"/>
            <w:vAlign w:val="center"/>
          </w:tcPr>
          <w:p w14:paraId="26B67F65">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9</w:t>
            </w:r>
          </w:p>
        </w:tc>
        <w:tc>
          <w:tcPr>
            <w:tcW w:w="1790" w:type="dxa"/>
            <w:vMerge w:val="restart"/>
            <w:vAlign w:val="center"/>
          </w:tcPr>
          <w:p w14:paraId="5D11BA33">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主要谐波电压值</w:t>
            </w:r>
          </w:p>
        </w:tc>
        <w:tc>
          <w:tcPr>
            <w:tcW w:w="1575" w:type="dxa"/>
            <w:vAlign w:val="center"/>
          </w:tcPr>
          <w:p w14:paraId="0CF586B4">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3次（V）</w:t>
            </w:r>
          </w:p>
        </w:tc>
        <w:tc>
          <w:tcPr>
            <w:tcW w:w="1315" w:type="dxa"/>
          </w:tcPr>
          <w:p w14:paraId="5E806B9D">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1C8FDC5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3F413D81">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6F8B4730">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5D6A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tcPr>
          <w:p w14:paraId="68167DCD">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790" w:type="dxa"/>
            <w:vMerge w:val="continue"/>
          </w:tcPr>
          <w:p w14:paraId="658BAF3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575" w:type="dxa"/>
            <w:vAlign w:val="center"/>
          </w:tcPr>
          <w:p w14:paraId="3891A882">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5次（V）</w:t>
            </w:r>
          </w:p>
        </w:tc>
        <w:tc>
          <w:tcPr>
            <w:tcW w:w="1315" w:type="dxa"/>
          </w:tcPr>
          <w:p w14:paraId="0B2D937A">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31ED37C4">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11190DA9">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3274928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3FB7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tcPr>
          <w:p w14:paraId="1D4156B4">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790" w:type="dxa"/>
            <w:vMerge w:val="continue"/>
          </w:tcPr>
          <w:p w14:paraId="7E440B04">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575" w:type="dxa"/>
            <w:vAlign w:val="center"/>
          </w:tcPr>
          <w:p w14:paraId="17566692">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7次（V）</w:t>
            </w:r>
          </w:p>
        </w:tc>
        <w:tc>
          <w:tcPr>
            <w:tcW w:w="1315" w:type="dxa"/>
          </w:tcPr>
          <w:p w14:paraId="2CFEFB0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109AF3EF">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1D85ED43">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1C5D9C7C">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7CE2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tcPr>
          <w:p w14:paraId="04D89495">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790" w:type="dxa"/>
            <w:vMerge w:val="continue"/>
          </w:tcPr>
          <w:p w14:paraId="46845D7F">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575" w:type="dxa"/>
            <w:vAlign w:val="center"/>
          </w:tcPr>
          <w:p w14:paraId="32564BCF">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9次（V）</w:t>
            </w:r>
          </w:p>
        </w:tc>
        <w:tc>
          <w:tcPr>
            <w:tcW w:w="1315" w:type="dxa"/>
          </w:tcPr>
          <w:p w14:paraId="718590B4">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42AB4A8D">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1A83670B">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476A3123">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726F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tcPr>
          <w:p w14:paraId="15D292CE">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790" w:type="dxa"/>
            <w:vMerge w:val="continue"/>
          </w:tcPr>
          <w:p w14:paraId="181A58C5">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575" w:type="dxa"/>
            <w:vAlign w:val="center"/>
          </w:tcPr>
          <w:p w14:paraId="37985EF2">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r>
              <w:rPr>
                <w:rFonts w:hint="eastAsia" w:ascii="宋体" w:hAnsi="宋体" w:eastAsia="宋体" w:cs="宋体"/>
                <w:b w:val="0"/>
                <w:bCs w:val="0"/>
                <w:snapToGrid w:val="0"/>
                <w:color w:val="auto"/>
                <w:kern w:val="0"/>
                <w:sz w:val="21"/>
                <w:szCs w:val="21"/>
                <w:lang w:val="en-US" w:eastAsia="zh-CN" w:bidi="ar"/>
              </w:rPr>
              <w:t>11次（V）</w:t>
            </w:r>
          </w:p>
        </w:tc>
        <w:tc>
          <w:tcPr>
            <w:tcW w:w="1315" w:type="dxa"/>
          </w:tcPr>
          <w:p w14:paraId="75FC8C27">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7FF76D05">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39ACDD5A">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5469DBB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6F2C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2A383D38">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10</w:t>
            </w:r>
          </w:p>
        </w:tc>
        <w:tc>
          <w:tcPr>
            <w:tcW w:w="3365" w:type="dxa"/>
            <w:gridSpan w:val="2"/>
            <w:vAlign w:val="center"/>
          </w:tcPr>
          <w:p w14:paraId="79494FC2">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电流谐波畸变总量（%）</w:t>
            </w:r>
          </w:p>
        </w:tc>
        <w:tc>
          <w:tcPr>
            <w:tcW w:w="1315" w:type="dxa"/>
          </w:tcPr>
          <w:p w14:paraId="7A5441D2">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19563B45">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71B0AF4A">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3449E90E">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098E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restart"/>
            <w:vAlign w:val="center"/>
          </w:tcPr>
          <w:p w14:paraId="7C173098">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11</w:t>
            </w:r>
          </w:p>
        </w:tc>
        <w:tc>
          <w:tcPr>
            <w:tcW w:w="1790" w:type="dxa"/>
            <w:vMerge w:val="restart"/>
            <w:vAlign w:val="center"/>
          </w:tcPr>
          <w:p w14:paraId="67D5A342">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主要谐波电流值</w:t>
            </w:r>
          </w:p>
        </w:tc>
        <w:tc>
          <w:tcPr>
            <w:tcW w:w="1575" w:type="dxa"/>
            <w:vAlign w:val="center"/>
          </w:tcPr>
          <w:p w14:paraId="4A91E6E8">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3次（V）</w:t>
            </w:r>
          </w:p>
        </w:tc>
        <w:tc>
          <w:tcPr>
            <w:tcW w:w="1315" w:type="dxa"/>
          </w:tcPr>
          <w:p w14:paraId="3D60C1E5">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0847F2D0">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20DF633B">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78DA78AF">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25E7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vAlign w:val="center"/>
          </w:tcPr>
          <w:p w14:paraId="2DE8114A">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p>
        </w:tc>
        <w:tc>
          <w:tcPr>
            <w:tcW w:w="1790" w:type="dxa"/>
            <w:vMerge w:val="continue"/>
            <w:vAlign w:val="center"/>
          </w:tcPr>
          <w:p w14:paraId="1DF721C6">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p>
        </w:tc>
        <w:tc>
          <w:tcPr>
            <w:tcW w:w="1575" w:type="dxa"/>
            <w:vAlign w:val="center"/>
          </w:tcPr>
          <w:p w14:paraId="5DE78A9A">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5次（V）</w:t>
            </w:r>
          </w:p>
        </w:tc>
        <w:tc>
          <w:tcPr>
            <w:tcW w:w="1315" w:type="dxa"/>
          </w:tcPr>
          <w:p w14:paraId="3D0BEAF0">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7BB1D4CE">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42EC73A4">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5C8C6CAC">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1220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vAlign w:val="center"/>
          </w:tcPr>
          <w:p w14:paraId="2C7C1510">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p>
        </w:tc>
        <w:tc>
          <w:tcPr>
            <w:tcW w:w="1790" w:type="dxa"/>
            <w:vMerge w:val="continue"/>
            <w:vAlign w:val="center"/>
          </w:tcPr>
          <w:p w14:paraId="6DDED6C5">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p>
        </w:tc>
        <w:tc>
          <w:tcPr>
            <w:tcW w:w="1575" w:type="dxa"/>
            <w:vAlign w:val="center"/>
          </w:tcPr>
          <w:p w14:paraId="3E709FE3">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7次（V）</w:t>
            </w:r>
          </w:p>
        </w:tc>
        <w:tc>
          <w:tcPr>
            <w:tcW w:w="1315" w:type="dxa"/>
          </w:tcPr>
          <w:p w14:paraId="7C887C7B">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72505771">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5F48724F">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46ED4EA0">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76D6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vAlign w:val="center"/>
          </w:tcPr>
          <w:p w14:paraId="7FB7C43A">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p>
        </w:tc>
        <w:tc>
          <w:tcPr>
            <w:tcW w:w="1790" w:type="dxa"/>
            <w:vMerge w:val="continue"/>
            <w:vAlign w:val="center"/>
          </w:tcPr>
          <w:p w14:paraId="29C102E9">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p>
        </w:tc>
        <w:tc>
          <w:tcPr>
            <w:tcW w:w="1575" w:type="dxa"/>
            <w:vAlign w:val="center"/>
          </w:tcPr>
          <w:p w14:paraId="6FB89478">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9次（V）</w:t>
            </w:r>
          </w:p>
        </w:tc>
        <w:tc>
          <w:tcPr>
            <w:tcW w:w="1315" w:type="dxa"/>
          </w:tcPr>
          <w:p w14:paraId="248020A2">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3A2C42D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5FF73DE2">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0BEB5DBE">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r w14:paraId="3C6A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vAlign w:val="center"/>
          </w:tcPr>
          <w:p w14:paraId="36512157">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p>
        </w:tc>
        <w:tc>
          <w:tcPr>
            <w:tcW w:w="1790" w:type="dxa"/>
            <w:vMerge w:val="continue"/>
            <w:vAlign w:val="center"/>
          </w:tcPr>
          <w:p w14:paraId="150D335B">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p>
        </w:tc>
        <w:tc>
          <w:tcPr>
            <w:tcW w:w="1575" w:type="dxa"/>
            <w:vAlign w:val="center"/>
          </w:tcPr>
          <w:p w14:paraId="1597F254">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11次（V）</w:t>
            </w:r>
          </w:p>
        </w:tc>
        <w:tc>
          <w:tcPr>
            <w:tcW w:w="1315" w:type="dxa"/>
          </w:tcPr>
          <w:p w14:paraId="1B0B76D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123366FB">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315" w:type="dxa"/>
          </w:tcPr>
          <w:p w14:paraId="5905E580">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c>
          <w:tcPr>
            <w:tcW w:w="1605" w:type="dxa"/>
          </w:tcPr>
          <w:p w14:paraId="077F7F40">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vertAlign w:val="baseline"/>
                <w:lang w:val="en-US" w:eastAsia="zh-CN" w:bidi="ar"/>
              </w:rPr>
            </w:pPr>
          </w:p>
        </w:tc>
      </w:tr>
    </w:tbl>
    <w:p w14:paraId="78CBB4C7">
      <w:pPr>
        <w:keepNext w:val="0"/>
        <w:keepLines w:val="0"/>
        <w:widowControl/>
        <w:numPr>
          <w:ilvl w:val="0"/>
          <w:numId w:val="0"/>
        </w:numPr>
        <w:suppressLineNumbers w:val="0"/>
        <w:jc w:val="right"/>
        <w:rPr>
          <w:rFonts w:hint="eastAsia" w:ascii="宋体" w:hAnsi="宋体" w:eastAsia="宋体" w:cs="宋体"/>
          <w:color w:val="auto"/>
          <w:sz w:val="21"/>
          <w:szCs w:val="21"/>
          <w:lang w:val="en-US" w:eastAsia="zh-CN"/>
        </w:rPr>
      </w:pPr>
    </w:p>
    <w:p w14:paraId="5A07A786">
      <w:pPr>
        <w:keepNext w:val="0"/>
        <w:keepLines w:val="0"/>
        <w:widowControl/>
        <w:numPr>
          <w:ilvl w:val="0"/>
          <w:numId w:val="0"/>
        </w:numPr>
        <w:suppressLineNumbers w:val="0"/>
        <w:jc w:val="right"/>
        <w:rPr>
          <w:rFonts w:hint="eastAsia" w:ascii="宋体" w:hAnsi="宋体" w:eastAsia="宋体" w:cs="宋体"/>
          <w:color w:val="auto"/>
          <w:sz w:val="21"/>
          <w:szCs w:val="21"/>
          <w:lang w:val="en-US" w:eastAsia="zh-CN"/>
        </w:rPr>
      </w:pPr>
    </w:p>
    <w:p w14:paraId="3E1C4208">
      <w:pPr>
        <w:keepNext w:val="0"/>
        <w:keepLines w:val="0"/>
        <w:widowControl/>
        <w:numPr>
          <w:ilvl w:val="0"/>
          <w:numId w:val="0"/>
        </w:numPr>
        <w:suppressLineNumbers w:val="0"/>
        <w:jc w:val="righ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    页共   页</w:t>
      </w:r>
    </w:p>
    <w:p w14:paraId="223DB589">
      <w:pPr>
        <w:rPr>
          <w:rFonts w:hint="eastAsia" w:ascii="黑体" w:hAnsi="黑体" w:eastAsia="黑体" w:cs="黑体"/>
          <w:b w:val="0"/>
          <w:bCs w:val="0"/>
          <w:snapToGrid w:val="0"/>
          <w:color w:val="auto"/>
          <w:kern w:val="0"/>
          <w:sz w:val="21"/>
          <w:szCs w:val="21"/>
          <w:lang w:val="en-US" w:eastAsia="zh-CN" w:bidi="ar"/>
        </w:rPr>
      </w:pPr>
      <w:r>
        <w:rPr>
          <w:rFonts w:hint="eastAsia" w:ascii="黑体" w:hAnsi="黑体" w:eastAsia="黑体" w:cs="黑体"/>
          <w:b w:val="0"/>
          <w:bCs w:val="0"/>
          <w:snapToGrid w:val="0"/>
          <w:color w:val="auto"/>
          <w:kern w:val="0"/>
          <w:sz w:val="21"/>
          <w:szCs w:val="21"/>
          <w:lang w:val="en-US" w:eastAsia="zh-CN" w:bidi="ar"/>
        </w:rPr>
        <w:br w:type="page"/>
      </w:r>
    </w:p>
    <w:p w14:paraId="43EC7037">
      <w:pPr>
        <w:keepNext w:val="0"/>
        <w:keepLines w:val="0"/>
        <w:widowControl/>
        <w:numPr>
          <w:ilvl w:val="0"/>
          <w:numId w:val="0"/>
        </w:numPr>
        <w:suppressLineNumbers w:val="0"/>
        <w:jc w:val="left"/>
        <w:rPr>
          <w:rFonts w:hint="eastAsia" w:ascii="黑体" w:hAnsi="黑体" w:eastAsia="黑体" w:cs="黑体"/>
          <w:b w:val="0"/>
          <w:bCs w:val="0"/>
          <w:snapToGrid w:val="0"/>
          <w:color w:val="auto"/>
          <w:kern w:val="0"/>
          <w:sz w:val="21"/>
          <w:szCs w:val="21"/>
          <w:lang w:val="en-US" w:eastAsia="zh-CN" w:bidi="ar"/>
        </w:rPr>
      </w:pPr>
      <w:r>
        <w:rPr>
          <w:rFonts w:hint="eastAsia" w:ascii="黑体" w:hAnsi="黑体" w:eastAsia="黑体" w:cs="黑体"/>
          <w:b w:val="0"/>
          <w:bCs w:val="0"/>
          <w:snapToGrid w:val="0"/>
          <w:color w:val="auto"/>
          <w:kern w:val="0"/>
          <w:sz w:val="21"/>
          <w:szCs w:val="21"/>
          <w:lang w:val="en-US" w:eastAsia="zh-CN" w:bidi="ar"/>
        </w:rPr>
        <w:t>5、热成像图片</w:t>
      </w:r>
    </w:p>
    <w:tbl>
      <w:tblPr>
        <w:tblStyle w:val="89"/>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25"/>
        <w:gridCol w:w="2219"/>
        <w:gridCol w:w="3960"/>
        <w:gridCol w:w="1605"/>
      </w:tblGrid>
      <w:tr w14:paraId="57A1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14:paraId="3251875C">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序号</w:t>
            </w:r>
          </w:p>
        </w:tc>
        <w:tc>
          <w:tcPr>
            <w:tcW w:w="1125" w:type="dxa"/>
            <w:vAlign w:val="center"/>
          </w:tcPr>
          <w:p w14:paraId="384F638F">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采集部位</w:t>
            </w:r>
          </w:p>
        </w:tc>
        <w:tc>
          <w:tcPr>
            <w:tcW w:w="2219" w:type="dxa"/>
            <w:vAlign w:val="center"/>
          </w:tcPr>
          <w:p w14:paraId="2A3F3F95">
            <w:pPr>
              <w:keepNext w:val="0"/>
              <w:keepLines w:val="0"/>
              <w:widowControl/>
              <w:numPr>
                <w:ilvl w:val="0"/>
                <w:numId w:val="0"/>
              </w:numPr>
              <w:suppressLineNumbers w:val="0"/>
              <w:jc w:val="center"/>
              <w:rPr>
                <w:rFonts w:hint="eastAsia"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热图编号</w:t>
            </w:r>
          </w:p>
        </w:tc>
        <w:tc>
          <w:tcPr>
            <w:tcW w:w="3960" w:type="dxa"/>
            <w:vAlign w:val="center"/>
          </w:tcPr>
          <w:p w14:paraId="57EB9120">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热成像仪图像及全可见光图像</w:t>
            </w:r>
          </w:p>
        </w:tc>
        <w:tc>
          <w:tcPr>
            <w:tcW w:w="1605" w:type="dxa"/>
            <w:vAlign w:val="center"/>
          </w:tcPr>
          <w:p w14:paraId="49BFCA35">
            <w:pPr>
              <w:keepNext w:val="0"/>
              <w:keepLines w:val="0"/>
              <w:widowControl/>
              <w:numPr>
                <w:ilvl w:val="0"/>
                <w:numId w:val="0"/>
              </w:numPr>
              <w:suppressLineNumbers w:val="0"/>
              <w:jc w:val="center"/>
              <w:rPr>
                <w:rFonts w:hint="default" w:ascii="宋体" w:hAnsi="宋体" w:eastAsia="宋体" w:cs="宋体"/>
                <w:b w:val="0"/>
                <w:bCs w:val="0"/>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备  注</w:t>
            </w:r>
          </w:p>
        </w:tc>
      </w:tr>
      <w:tr w14:paraId="237D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D98E566">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1125" w:type="dxa"/>
          </w:tcPr>
          <w:p w14:paraId="45C0856D">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2219" w:type="dxa"/>
          </w:tcPr>
          <w:p w14:paraId="6A918972">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3960" w:type="dxa"/>
          </w:tcPr>
          <w:p w14:paraId="3264ADC2">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1605" w:type="dxa"/>
          </w:tcPr>
          <w:p w14:paraId="3F519DBB">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r>
      <w:tr w14:paraId="1267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6D4098CB">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1125" w:type="dxa"/>
          </w:tcPr>
          <w:p w14:paraId="1452E691">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2219" w:type="dxa"/>
          </w:tcPr>
          <w:p w14:paraId="7CF30591">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3960" w:type="dxa"/>
          </w:tcPr>
          <w:p w14:paraId="2EE0BE2C">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c>
          <w:tcPr>
            <w:tcW w:w="1605" w:type="dxa"/>
          </w:tcPr>
          <w:p w14:paraId="3F319712">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vertAlign w:val="baseline"/>
                <w:lang w:val="en-US" w:eastAsia="zh-CN"/>
              </w:rPr>
            </w:pPr>
          </w:p>
        </w:tc>
      </w:tr>
    </w:tbl>
    <w:p w14:paraId="3FFE38CB">
      <w:pPr>
        <w:keepNext w:val="0"/>
        <w:keepLines w:val="0"/>
        <w:widowControl/>
        <w:suppressLineNumbers w:val="0"/>
        <w:jc w:val="left"/>
        <w:rPr>
          <w:rFonts w:hint="default" w:asciiTheme="minorEastAsia" w:hAnsiTheme="minorEastAsia" w:eastAsiaTheme="minorEastAsia" w:cstheme="minorEastAsia"/>
          <w:b w:val="0"/>
          <w:bCs w:val="0"/>
          <w:color w:val="auto"/>
          <w:sz w:val="21"/>
          <w:szCs w:val="21"/>
          <w:lang w:val="en-US" w:eastAsia="zh-CN"/>
        </w:rPr>
      </w:pPr>
    </w:p>
    <w:p w14:paraId="58416139">
      <w:pPr>
        <w:keepNext w:val="0"/>
        <w:keepLines w:val="0"/>
        <w:widowControl/>
        <w:numPr>
          <w:ilvl w:val="0"/>
          <w:numId w:val="0"/>
        </w:numPr>
        <w:suppressLineNumbers w:val="0"/>
        <w:jc w:val="left"/>
        <w:rPr>
          <w:rFonts w:hint="eastAsia" w:ascii="黑体" w:hAnsi="黑体" w:eastAsia="黑体" w:cs="黑体"/>
          <w:b w:val="0"/>
          <w:bCs w:val="0"/>
          <w:snapToGrid w:val="0"/>
          <w:color w:val="auto"/>
          <w:kern w:val="0"/>
          <w:sz w:val="21"/>
          <w:szCs w:val="21"/>
          <w:lang w:val="en-US" w:eastAsia="zh-CN" w:bidi="ar"/>
        </w:rPr>
      </w:pPr>
      <w:r>
        <w:rPr>
          <w:rFonts w:hint="eastAsia" w:ascii="黑体" w:hAnsi="黑体" w:eastAsia="黑体" w:cs="黑体"/>
          <w:b w:val="0"/>
          <w:bCs w:val="0"/>
          <w:snapToGrid w:val="0"/>
          <w:color w:val="auto"/>
          <w:kern w:val="0"/>
          <w:sz w:val="21"/>
          <w:szCs w:val="21"/>
          <w:lang w:val="en-US" w:eastAsia="zh-CN" w:bidi="ar"/>
        </w:rPr>
        <w:t>6、主要不符合项图片</w:t>
      </w:r>
    </w:p>
    <w:tbl>
      <w:tblPr>
        <w:tblStyle w:val="89"/>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25"/>
        <w:gridCol w:w="2229"/>
        <w:gridCol w:w="3950"/>
        <w:gridCol w:w="1605"/>
      </w:tblGrid>
      <w:tr w14:paraId="50A1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14:paraId="666FDC36">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lang w:val="en-US" w:eastAsia="zh-CN" w:bidi="ar"/>
              </w:rPr>
            </w:pPr>
            <w:r>
              <w:rPr>
                <w:rFonts w:hint="eastAsia" w:asciiTheme="minorEastAsia" w:hAnsiTheme="minorEastAsia" w:eastAsiaTheme="minorEastAsia" w:cstheme="minorEastAsia"/>
                <w:b w:val="0"/>
                <w:bCs w:val="0"/>
                <w:snapToGrid w:val="0"/>
                <w:color w:val="auto"/>
                <w:kern w:val="0"/>
                <w:sz w:val="21"/>
                <w:szCs w:val="21"/>
                <w:lang w:val="en-US" w:eastAsia="zh-CN" w:bidi="ar"/>
              </w:rPr>
              <w:t>序号</w:t>
            </w:r>
          </w:p>
        </w:tc>
        <w:tc>
          <w:tcPr>
            <w:tcW w:w="1125" w:type="dxa"/>
            <w:vAlign w:val="center"/>
          </w:tcPr>
          <w:p w14:paraId="284C9594">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lang w:val="en-US" w:eastAsia="zh-CN" w:bidi="ar"/>
              </w:rPr>
            </w:pPr>
            <w:r>
              <w:rPr>
                <w:rFonts w:hint="eastAsia" w:asciiTheme="minorEastAsia" w:hAnsiTheme="minorEastAsia" w:eastAsiaTheme="minorEastAsia" w:cstheme="minorEastAsia"/>
                <w:b w:val="0"/>
                <w:bCs w:val="0"/>
                <w:snapToGrid w:val="0"/>
                <w:color w:val="auto"/>
                <w:kern w:val="0"/>
                <w:sz w:val="21"/>
                <w:szCs w:val="21"/>
                <w:lang w:val="en-US" w:eastAsia="zh-CN" w:bidi="ar"/>
              </w:rPr>
              <w:t>部 位</w:t>
            </w:r>
          </w:p>
        </w:tc>
        <w:tc>
          <w:tcPr>
            <w:tcW w:w="2229" w:type="dxa"/>
            <w:vAlign w:val="center"/>
          </w:tcPr>
          <w:p w14:paraId="1738D6BF">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lang w:val="en-US" w:eastAsia="zh-CN" w:bidi="ar"/>
              </w:rPr>
            </w:pPr>
            <w:r>
              <w:rPr>
                <w:rFonts w:hint="eastAsia" w:asciiTheme="minorEastAsia" w:hAnsiTheme="minorEastAsia" w:eastAsiaTheme="minorEastAsia" w:cstheme="minorEastAsia"/>
                <w:b w:val="0"/>
                <w:bCs w:val="0"/>
                <w:snapToGrid w:val="0"/>
                <w:color w:val="auto"/>
                <w:kern w:val="0"/>
                <w:sz w:val="21"/>
                <w:szCs w:val="21"/>
                <w:lang w:val="en-US" w:eastAsia="zh-CN" w:bidi="ar"/>
              </w:rPr>
              <w:t>问 题 描 述</w:t>
            </w:r>
          </w:p>
        </w:tc>
        <w:tc>
          <w:tcPr>
            <w:tcW w:w="3950" w:type="dxa"/>
            <w:vAlign w:val="center"/>
          </w:tcPr>
          <w:p w14:paraId="1276AE8E">
            <w:pPr>
              <w:keepNext w:val="0"/>
              <w:keepLines w:val="0"/>
              <w:widowControl/>
              <w:suppressLineNumbers w:val="0"/>
              <w:jc w:val="center"/>
              <w:rPr>
                <w:rFonts w:hint="eastAsia" w:asciiTheme="minorEastAsia" w:hAnsiTheme="minorEastAsia" w:eastAsiaTheme="minorEastAsia" w:cstheme="minorEastAsia"/>
                <w:b w:val="0"/>
                <w:bCs w:val="0"/>
                <w:snapToGrid w:val="0"/>
                <w:color w:val="auto"/>
                <w:kern w:val="0"/>
                <w:sz w:val="21"/>
                <w:szCs w:val="21"/>
                <w:lang w:val="en-US" w:eastAsia="zh-CN" w:bidi="ar"/>
              </w:rPr>
            </w:pPr>
            <w:r>
              <w:rPr>
                <w:rFonts w:hint="eastAsia" w:asciiTheme="minorEastAsia" w:hAnsiTheme="minorEastAsia" w:eastAsiaTheme="minorEastAsia" w:cstheme="minorEastAsia"/>
                <w:b w:val="0"/>
                <w:bCs w:val="0"/>
                <w:snapToGrid w:val="0"/>
                <w:color w:val="auto"/>
                <w:kern w:val="0"/>
                <w:sz w:val="21"/>
                <w:szCs w:val="21"/>
                <w:lang w:val="en-US" w:eastAsia="zh-CN" w:bidi="ar"/>
              </w:rPr>
              <w:t>主要不符合项照片</w:t>
            </w:r>
          </w:p>
        </w:tc>
        <w:tc>
          <w:tcPr>
            <w:tcW w:w="1605" w:type="dxa"/>
            <w:vAlign w:val="center"/>
          </w:tcPr>
          <w:p w14:paraId="246DC4B3">
            <w:pPr>
              <w:keepNext w:val="0"/>
              <w:keepLines w:val="0"/>
              <w:widowControl/>
              <w:numPr>
                <w:ilvl w:val="0"/>
                <w:numId w:val="0"/>
              </w:numPr>
              <w:suppressLineNumbers w:val="0"/>
              <w:jc w:val="center"/>
              <w:rPr>
                <w:rFonts w:hint="eastAsia" w:asciiTheme="minorEastAsia" w:hAnsiTheme="minorEastAsia" w:eastAsiaTheme="minorEastAsia" w:cstheme="minorEastAsia"/>
                <w:b w:val="0"/>
                <w:bCs w:val="0"/>
                <w:snapToGrid w:val="0"/>
                <w:color w:val="auto"/>
                <w:kern w:val="0"/>
                <w:sz w:val="21"/>
                <w:szCs w:val="21"/>
                <w:lang w:val="en-US" w:eastAsia="zh-CN" w:bidi="ar"/>
              </w:rPr>
            </w:pPr>
            <w:r>
              <w:rPr>
                <w:rFonts w:hint="eastAsia" w:asciiTheme="minorEastAsia" w:hAnsiTheme="minorEastAsia" w:eastAsiaTheme="minorEastAsia" w:cstheme="minorEastAsia"/>
                <w:b w:val="0"/>
                <w:bCs w:val="0"/>
                <w:snapToGrid w:val="0"/>
                <w:color w:val="auto"/>
                <w:kern w:val="0"/>
                <w:sz w:val="21"/>
                <w:szCs w:val="21"/>
                <w:lang w:val="en-US" w:eastAsia="zh-CN" w:bidi="ar"/>
              </w:rPr>
              <w:t>备  注</w:t>
            </w:r>
          </w:p>
        </w:tc>
      </w:tr>
      <w:tr w14:paraId="05C6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4C58E76">
            <w:pPr>
              <w:keepNext w:val="0"/>
              <w:keepLines w:val="0"/>
              <w:widowControl/>
              <w:suppressLineNumbers w:val="0"/>
              <w:jc w:val="left"/>
              <w:rPr>
                <w:rFonts w:hint="eastAsia" w:asciiTheme="minorEastAsia" w:hAnsiTheme="minorEastAsia" w:eastAsiaTheme="minorEastAsia" w:cstheme="minorEastAsia"/>
                <w:b w:val="0"/>
                <w:bCs w:val="0"/>
                <w:color w:val="auto"/>
                <w:sz w:val="21"/>
                <w:szCs w:val="21"/>
                <w:vertAlign w:val="baseline"/>
                <w:lang w:val="en-US" w:eastAsia="zh-CN"/>
              </w:rPr>
            </w:pPr>
          </w:p>
        </w:tc>
        <w:tc>
          <w:tcPr>
            <w:tcW w:w="1125" w:type="dxa"/>
          </w:tcPr>
          <w:p w14:paraId="4629D6B5">
            <w:pPr>
              <w:keepNext w:val="0"/>
              <w:keepLines w:val="0"/>
              <w:widowControl/>
              <w:suppressLineNumbers w:val="0"/>
              <w:jc w:val="left"/>
              <w:rPr>
                <w:rFonts w:hint="eastAsia" w:asciiTheme="minorEastAsia" w:hAnsiTheme="minorEastAsia" w:eastAsiaTheme="minorEastAsia" w:cstheme="minorEastAsia"/>
                <w:b w:val="0"/>
                <w:bCs w:val="0"/>
                <w:color w:val="auto"/>
                <w:sz w:val="21"/>
                <w:szCs w:val="21"/>
                <w:vertAlign w:val="baseline"/>
                <w:lang w:val="en-US" w:eastAsia="zh-CN"/>
              </w:rPr>
            </w:pPr>
          </w:p>
        </w:tc>
        <w:tc>
          <w:tcPr>
            <w:tcW w:w="2229" w:type="dxa"/>
          </w:tcPr>
          <w:p w14:paraId="67BC62CC">
            <w:pPr>
              <w:keepNext w:val="0"/>
              <w:keepLines w:val="0"/>
              <w:widowControl/>
              <w:suppressLineNumbers w:val="0"/>
              <w:jc w:val="left"/>
              <w:rPr>
                <w:rFonts w:hint="eastAsia" w:asciiTheme="minorEastAsia" w:hAnsiTheme="minorEastAsia" w:eastAsiaTheme="minorEastAsia" w:cstheme="minorEastAsia"/>
                <w:b w:val="0"/>
                <w:bCs w:val="0"/>
                <w:color w:val="auto"/>
                <w:sz w:val="21"/>
                <w:szCs w:val="21"/>
                <w:vertAlign w:val="baseline"/>
                <w:lang w:val="en-US" w:eastAsia="zh-CN"/>
              </w:rPr>
            </w:pPr>
          </w:p>
        </w:tc>
        <w:tc>
          <w:tcPr>
            <w:tcW w:w="3950" w:type="dxa"/>
          </w:tcPr>
          <w:p w14:paraId="0DF4FFB0">
            <w:pPr>
              <w:keepNext w:val="0"/>
              <w:keepLines w:val="0"/>
              <w:widowControl/>
              <w:suppressLineNumbers w:val="0"/>
              <w:jc w:val="left"/>
              <w:rPr>
                <w:rFonts w:hint="eastAsia" w:asciiTheme="minorEastAsia" w:hAnsiTheme="minorEastAsia" w:eastAsiaTheme="minorEastAsia" w:cstheme="minorEastAsia"/>
                <w:b w:val="0"/>
                <w:bCs w:val="0"/>
                <w:color w:val="auto"/>
                <w:sz w:val="21"/>
                <w:szCs w:val="21"/>
                <w:vertAlign w:val="baseline"/>
                <w:lang w:val="en-US" w:eastAsia="zh-CN"/>
              </w:rPr>
            </w:pPr>
          </w:p>
        </w:tc>
        <w:tc>
          <w:tcPr>
            <w:tcW w:w="1605" w:type="dxa"/>
          </w:tcPr>
          <w:p w14:paraId="09B867F7">
            <w:pPr>
              <w:keepNext w:val="0"/>
              <w:keepLines w:val="0"/>
              <w:widowControl/>
              <w:suppressLineNumbers w:val="0"/>
              <w:jc w:val="left"/>
              <w:rPr>
                <w:rFonts w:hint="eastAsia" w:asciiTheme="minorEastAsia" w:hAnsiTheme="minorEastAsia" w:eastAsiaTheme="minorEastAsia" w:cstheme="minorEastAsia"/>
                <w:b w:val="0"/>
                <w:bCs w:val="0"/>
                <w:color w:val="auto"/>
                <w:sz w:val="21"/>
                <w:szCs w:val="21"/>
                <w:vertAlign w:val="baseline"/>
                <w:lang w:val="en-US" w:eastAsia="zh-CN"/>
              </w:rPr>
            </w:pPr>
          </w:p>
        </w:tc>
      </w:tr>
      <w:tr w14:paraId="08DA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E95443F">
            <w:pPr>
              <w:keepNext w:val="0"/>
              <w:keepLines w:val="0"/>
              <w:widowControl/>
              <w:suppressLineNumbers w:val="0"/>
              <w:jc w:val="left"/>
              <w:rPr>
                <w:rFonts w:hint="eastAsia" w:asciiTheme="minorEastAsia" w:hAnsiTheme="minorEastAsia" w:eastAsiaTheme="minorEastAsia" w:cstheme="minorEastAsia"/>
                <w:b w:val="0"/>
                <w:bCs w:val="0"/>
                <w:color w:val="auto"/>
                <w:sz w:val="21"/>
                <w:szCs w:val="21"/>
                <w:vertAlign w:val="baseline"/>
                <w:lang w:val="en-US" w:eastAsia="zh-CN"/>
              </w:rPr>
            </w:pPr>
          </w:p>
        </w:tc>
        <w:tc>
          <w:tcPr>
            <w:tcW w:w="1125" w:type="dxa"/>
          </w:tcPr>
          <w:p w14:paraId="6506AE36">
            <w:pPr>
              <w:keepNext w:val="0"/>
              <w:keepLines w:val="0"/>
              <w:widowControl/>
              <w:suppressLineNumbers w:val="0"/>
              <w:jc w:val="left"/>
              <w:rPr>
                <w:rFonts w:hint="eastAsia" w:asciiTheme="minorEastAsia" w:hAnsiTheme="minorEastAsia" w:eastAsiaTheme="minorEastAsia" w:cstheme="minorEastAsia"/>
                <w:b w:val="0"/>
                <w:bCs w:val="0"/>
                <w:color w:val="auto"/>
                <w:sz w:val="21"/>
                <w:szCs w:val="21"/>
                <w:vertAlign w:val="baseline"/>
                <w:lang w:val="en-US" w:eastAsia="zh-CN"/>
              </w:rPr>
            </w:pPr>
          </w:p>
        </w:tc>
        <w:tc>
          <w:tcPr>
            <w:tcW w:w="2229" w:type="dxa"/>
          </w:tcPr>
          <w:p w14:paraId="181DA5AA">
            <w:pPr>
              <w:keepNext w:val="0"/>
              <w:keepLines w:val="0"/>
              <w:widowControl/>
              <w:suppressLineNumbers w:val="0"/>
              <w:jc w:val="left"/>
              <w:rPr>
                <w:rFonts w:hint="eastAsia" w:asciiTheme="minorEastAsia" w:hAnsiTheme="minorEastAsia" w:eastAsiaTheme="minorEastAsia" w:cstheme="minorEastAsia"/>
                <w:b w:val="0"/>
                <w:bCs w:val="0"/>
                <w:color w:val="auto"/>
                <w:sz w:val="21"/>
                <w:szCs w:val="21"/>
                <w:vertAlign w:val="baseline"/>
                <w:lang w:val="en-US" w:eastAsia="zh-CN"/>
              </w:rPr>
            </w:pPr>
          </w:p>
        </w:tc>
        <w:tc>
          <w:tcPr>
            <w:tcW w:w="3950" w:type="dxa"/>
          </w:tcPr>
          <w:p w14:paraId="3484DAD4">
            <w:pPr>
              <w:keepNext w:val="0"/>
              <w:keepLines w:val="0"/>
              <w:widowControl/>
              <w:suppressLineNumbers w:val="0"/>
              <w:jc w:val="left"/>
              <w:rPr>
                <w:rFonts w:hint="eastAsia" w:asciiTheme="minorEastAsia" w:hAnsiTheme="minorEastAsia" w:eastAsiaTheme="minorEastAsia" w:cstheme="minorEastAsia"/>
                <w:b w:val="0"/>
                <w:bCs w:val="0"/>
                <w:color w:val="auto"/>
                <w:sz w:val="21"/>
                <w:szCs w:val="21"/>
                <w:vertAlign w:val="baseline"/>
                <w:lang w:val="en-US" w:eastAsia="zh-CN"/>
              </w:rPr>
            </w:pPr>
          </w:p>
        </w:tc>
        <w:tc>
          <w:tcPr>
            <w:tcW w:w="1605" w:type="dxa"/>
          </w:tcPr>
          <w:p w14:paraId="0D22A2F1">
            <w:pPr>
              <w:keepNext w:val="0"/>
              <w:keepLines w:val="0"/>
              <w:widowControl/>
              <w:suppressLineNumbers w:val="0"/>
              <w:jc w:val="left"/>
              <w:rPr>
                <w:rFonts w:hint="eastAsia" w:asciiTheme="minorEastAsia" w:hAnsiTheme="minorEastAsia" w:eastAsiaTheme="minorEastAsia" w:cstheme="minorEastAsia"/>
                <w:b w:val="0"/>
                <w:bCs w:val="0"/>
                <w:color w:val="auto"/>
                <w:sz w:val="21"/>
                <w:szCs w:val="21"/>
                <w:vertAlign w:val="baseline"/>
                <w:lang w:val="en-US" w:eastAsia="zh-CN"/>
              </w:rPr>
            </w:pPr>
          </w:p>
        </w:tc>
      </w:tr>
    </w:tbl>
    <w:p w14:paraId="628B94AA">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35710E6C">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r>
        <w:rPr>
          <w:rFonts w:hint="eastAsia" w:asciiTheme="minorEastAsia" w:hAnsiTheme="minorEastAsia" w:eastAsiaTheme="minorEastAsia" w:cstheme="minorEastAsia"/>
          <w:b w:val="0"/>
          <w:bCs w:val="0"/>
          <w:snapToGrid w:val="0"/>
          <w:color w:val="auto"/>
          <w:kern w:val="0"/>
          <w:sz w:val="21"/>
          <w:szCs w:val="21"/>
          <w:lang w:val="en-US" w:eastAsia="zh-CN" w:bidi="ar"/>
        </w:rPr>
        <w:t>注：上述附表用于检测原始记录参考，无需全部放入报告中。</w:t>
      </w:r>
    </w:p>
    <w:p w14:paraId="5C23CBAF">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52E6434C">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20F419AE">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7138824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0FAB1459">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2895B166">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7231F87B">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7F7CE57E">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48DB12CF">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10B5D347">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16DD6985">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6C4323EB">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31D47AE5">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2529FD8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7C5E255C">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4582FA3A">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1C2F3491">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22A52764">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059FE7D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3C60CF98">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04123860">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6EA793EB">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4BBB619A">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320270EC">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6867DA41">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10BD63C0">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7F854844">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3B27F406">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7B2BFDEB">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68908C49">
      <w:pPr>
        <w:keepNext w:val="0"/>
        <w:keepLines w:val="0"/>
        <w:widowControl/>
        <w:numPr>
          <w:ilvl w:val="0"/>
          <w:numId w:val="0"/>
        </w:numPr>
        <w:suppressLineNumbers w:val="0"/>
        <w:jc w:val="left"/>
        <w:rPr>
          <w:rFonts w:hint="eastAsia" w:asciiTheme="minorEastAsia" w:hAnsiTheme="minorEastAsia" w:eastAsiaTheme="minorEastAsia" w:cstheme="minorEastAsia"/>
          <w:b w:val="0"/>
          <w:bCs w:val="0"/>
          <w:snapToGrid w:val="0"/>
          <w:color w:val="auto"/>
          <w:kern w:val="0"/>
          <w:sz w:val="21"/>
          <w:szCs w:val="21"/>
          <w:lang w:val="en-US" w:eastAsia="zh-CN" w:bidi="ar"/>
        </w:rPr>
      </w:pPr>
    </w:p>
    <w:p w14:paraId="40A35881">
      <w:pPr>
        <w:keepNext w:val="0"/>
        <w:keepLines w:val="0"/>
        <w:widowControl/>
        <w:numPr>
          <w:ilvl w:val="0"/>
          <w:numId w:val="0"/>
        </w:numPr>
        <w:suppressLineNumbers w:val="0"/>
        <w:jc w:val="righ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    页共   页</w:t>
      </w:r>
    </w:p>
    <w:p w14:paraId="49724414">
      <w:pPr>
        <w:pStyle w:val="258"/>
        <w:bidi w:val="0"/>
        <w:rPr>
          <w:rFonts w:hint="eastAsia"/>
          <w:color w:val="auto"/>
          <w:lang w:val="en-US" w:eastAsia="zh-CN"/>
        </w:rPr>
        <w:sectPr>
          <w:pgSz w:w="11907" w:h="16839"/>
          <w:pgMar w:top="1418" w:right="1134" w:bottom="1134" w:left="1418" w:header="1418" w:footer="1134" w:gutter="0"/>
          <w:lnNumType w:countBy="0" w:restart="continuous"/>
          <w:pgNumType w:fmt="decimal"/>
          <w:cols w:space="425" w:num="1"/>
          <w:rtlGutter w:val="0"/>
          <w:docGrid w:type="lines" w:linePitch="312" w:charSpace="0"/>
        </w:sectPr>
      </w:pPr>
    </w:p>
    <w:p w14:paraId="3741B8FB">
      <w:pPr>
        <w:pStyle w:val="347"/>
        <w:bidi w:val="0"/>
        <w:ind w:left="0" w:leftChars="0" w:firstLine="0" w:firstLineChars="0"/>
        <w:rPr>
          <w:rFonts w:hint="eastAsia"/>
          <w:color w:val="auto"/>
          <w:lang w:val="en-US" w:eastAsia="zh-CN"/>
        </w:rPr>
      </w:pPr>
    </w:p>
    <w:p w14:paraId="0958313C">
      <w:pPr>
        <w:pStyle w:val="348"/>
        <w:bidi w:val="0"/>
        <w:ind w:left="0" w:leftChars="0" w:firstLine="0" w:firstLineChars="0"/>
        <w:rPr>
          <w:rFonts w:hint="eastAsia"/>
          <w:color w:val="auto"/>
          <w:lang w:val="en-US" w:eastAsia="zh-CN"/>
        </w:rPr>
      </w:pPr>
    </w:p>
    <w:p w14:paraId="43057AB1">
      <w:pPr>
        <w:pStyle w:val="257"/>
        <w:bidi w:val="0"/>
        <w:jc w:val="center"/>
        <w:rPr>
          <w:rFonts w:hint="eastAsia"/>
          <w:color w:val="auto"/>
          <w:lang w:val="en-US" w:eastAsia="zh-CN"/>
        </w:rPr>
      </w:pPr>
      <w:bookmarkStart w:id="703" w:name="_Toc10108"/>
      <w:r>
        <w:rPr>
          <w:rFonts w:hint="eastAsia"/>
          <w:color w:val="auto"/>
          <w:lang w:val="en-US" w:eastAsia="zh-CN"/>
        </w:rPr>
        <w:t>参  考  文  献</w:t>
      </w:r>
      <w:bookmarkEnd w:id="681"/>
      <w:bookmarkEnd w:id="682"/>
      <w:bookmarkEnd w:id="683"/>
      <w:bookmarkEnd w:id="684"/>
      <w:bookmarkEnd w:id="685"/>
      <w:bookmarkEnd w:id="686"/>
      <w:bookmarkEnd w:id="687"/>
      <w:bookmarkEnd w:id="688"/>
      <w:bookmarkEnd w:id="689"/>
      <w:bookmarkEnd w:id="690"/>
      <w:bookmarkEnd w:id="691"/>
      <w:bookmarkEnd w:id="703"/>
    </w:p>
    <w:p w14:paraId="52A12EAA">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GB 1094.1 </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电力变压器 </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第1部分：总则 </w:t>
      </w:r>
    </w:p>
    <w:p w14:paraId="2D0BF97A">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 xml:space="preserve"> GB 1094.2  电力变压器  第2部分：液浸式变压器的温升</w:t>
      </w:r>
    </w:p>
    <w:p w14:paraId="35296BB2">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GB</w:t>
      </w:r>
      <w:r>
        <w:rPr>
          <w:rFonts w:hint="eastAsia" w:ascii="宋体" w:hAnsi="宋体" w:cs="宋体"/>
          <w:color w:val="auto"/>
          <w:kern w:val="0"/>
          <w:sz w:val="21"/>
          <w:szCs w:val="21"/>
          <w:lang w:val="en-US" w:eastAsia="zh-CN" w:bidi="ar"/>
        </w:rPr>
        <w:t>/T</w:t>
      </w:r>
      <w:r>
        <w:rPr>
          <w:rFonts w:hint="eastAsia" w:ascii="宋体" w:hAnsi="宋体" w:eastAsia="宋体" w:cs="宋体"/>
          <w:color w:val="auto"/>
          <w:kern w:val="0"/>
          <w:sz w:val="21"/>
          <w:szCs w:val="21"/>
          <w:lang w:val="en-US" w:eastAsia="zh-CN" w:bidi="ar"/>
        </w:rPr>
        <w:t xml:space="preserve"> 1094.11  电力变压器  第11部分：干式变压器</w:t>
      </w:r>
    </w:p>
    <w:p w14:paraId="7BE56FFA">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 xml:space="preserve"> GB/T 1094.12  电力变压器  第12部分：干式电力变压器负载导则</w:t>
      </w:r>
    </w:p>
    <w:p w14:paraId="13A5946A">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GB 7000.1  灯具  第1部分：一般要求与试验</w:t>
      </w:r>
    </w:p>
    <w:p w14:paraId="095F82AD">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GB/T 11022  高压交流开关设备和控制设备标准的共用技术要求</w:t>
      </w:r>
    </w:p>
    <w:p w14:paraId="627B7871">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 xml:space="preserve"> GB/T 13499  电力变压器应用导则</w:t>
      </w:r>
    </w:p>
    <w:p w14:paraId="3FF1378E">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GB 16895.3  低压电气装置  第5－54部分：电气设备的选择和安装  接地配置和保护导体</w:t>
      </w:r>
    </w:p>
    <w:p w14:paraId="1252A9D5">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GB 50016  建筑设计防火规范</w:t>
      </w:r>
    </w:p>
    <w:p w14:paraId="518F993B">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1"/>
          <w:szCs w:val="21"/>
          <w:lang w:val="en-US" w:eastAsia="zh-CN" w:bidi="ar"/>
        </w:rPr>
        <w:t xml:space="preserve"> GB 50052  供配电系统设计规范 </w:t>
      </w:r>
    </w:p>
    <w:p w14:paraId="710E3359">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GB 50053  20kV及以下变电所设计规范</w:t>
      </w:r>
    </w:p>
    <w:p w14:paraId="2A628ED9">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GB 50054  低压配电设计规范</w:t>
      </w:r>
    </w:p>
    <w:p w14:paraId="554E8E50">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GB 50055  通用用电设备配电设计规范</w:t>
      </w:r>
    </w:p>
    <w:p w14:paraId="1F427159">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1"/>
          <w:szCs w:val="21"/>
          <w:lang w:val="en-US" w:eastAsia="zh-CN" w:bidi="ar"/>
        </w:rPr>
        <w:t xml:space="preserve"> GB 50147</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 电气装置安装工程 </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高压电器施工及验收规范</w:t>
      </w:r>
    </w:p>
    <w:p w14:paraId="12DED24E">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1"/>
          <w:szCs w:val="21"/>
          <w:lang w:val="en-US" w:eastAsia="zh-CN" w:bidi="ar"/>
        </w:rPr>
        <w:t xml:space="preserve"> GB 50150  电气装置安装工程  电气设备交接试验标准</w:t>
      </w:r>
    </w:p>
    <w:p w14:paraId="7390F23B">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1"/>
          <w:szCs w:val="21"/>
          <w:lang w:val="en-US" w:eastAsia="zh-CN" w:bidi="ar"/>
        </w:rPr>
        <w:t xml:space="preserve"> GB 50168  电气装置安装工程  电缆线路施工及验收规范</w:t>
      </w:r>
    </w:p>
    <w:p w14:paraId="2057ADB7">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cs="宋体"/>
          <w:color w:val="auto"/>
          <w:lang w:val="en-US" w:eastAsia="zh-CN"/>
        </w:rPr>
        <w:t xml:space="preserve"> </w:t>
      </w:r>
      <w:r>
        <w:rPr>
          <w:rFonts w:hint="eastAsia" w:ascii="宋体" w:hAnsi="宋体" w:eastAsia="宋体" w:cs="宋体"/>
          <w:color w:val="auto"/>
          <w:kern w:val="0"/>
          <w:sz w:val="21"/>
          <w:szCs w:val="21"/>
          <w:lang w:val="en-US" w:eastAsia="zh-CN" w:bidi="ar"/>
        </w:rPr>
        <w:t>GB 50171  电气装置安装工程  盘、柜及二次回路接线施工及验收规范</w:t>
      </w:r>
    </w:p>
    <w:p w14:paraId="14ECB787">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cs="宋体"/>
          <w:color w:val="auto"/>
          <w:lang w:val="en-US" w:eastAsia="zh-CN"/>
        </w:rPr>
        <w:t xml:space="preserve"> </w:t>
      </w:r>
      <w:r>
        <w:rPr>
          <w:rFonts w:hint="eastAsia" w:ascii="宋体" w:hAnsi="宋体" w:eastAsia="宋体" w:cs="宋体"/>
          <w:color w:val="auto"/>
          <w:kern w:val="0"/>
          <w:sz w:val="21"/>
          <w:szCs w:val="21"/>
          <w:lang w:val="en-US" w:eastAsia="zh-CN" w:bidi="ar"/>
        </w:rPr>
        <w:t>GB 50194  建设工程施工现场供用电安全规范</w:t>
      </w:r>
    </w:p>
    <w:p w14:paraId="25C1A5B3">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1"/>
          <w:szCs w:val="21"/>
          <w:lang w:val="en-US" w:eastAsia="zh-CN" w:bidi="ar"/>
        </w:rPr>
        <w:t xml:space="preserve"> GB 50217  电力工程电缆设计标准</w:t>
      </w:r>
    </w:p>
    <w:p w14:paraId="6E346D75">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1"/>
          <w:szCs w:val="21"/>
          <w:lang w:val="en-US" w:eastAsia="zh-CN" w:bidi="ar"/>
        </w:rPr>
        <w:t xml:space="preserve"> GB 50222  建筑内部装修设计防火规范</w:t>
      </w:r>
    </w:p>
    <w:p w14:paraId="6E7E4397">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cs="宋体"/>
          <w:color w:val="auto"/>
          <w:lang w:val="en-US" w:eastAsia="zh-CN"/>
        </w:rPr>
        <w:t xml:space="preserve"> </w:t>
      </w:r>
      <w:r>
        <w:rPr>
          <w:rFonts w:hint="eastAsia" w:ascii="宋体" w:hAnsi="宋体" w:eastAsia="宋体" w:cs="宋体"/>
          <w:color w:val="auto"/>
          <w:kern w:val="0"/>
          <w:sz w:val="21"/>
          <w:szCs w:val="21"/>
          <w:lang w:val="en-US" w:eastAsia="zh-CN" w:bidi="ar"/>
        </w:rPr>
        <w:t>GB 50254  电气装置安装工程  低压电器施工及验收规范</w:t>
      </w:r>
    </w:p>
    <w:p w14:paraId="015DF919">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cs="宋体"/>
          <w:color w:val="auto"/>
          <w:kern w:val="0"/>
          <w:sz w:val="21"/>
          <w:szCs w:val="21"/>
          <w:lang w:val="en-US" w:eastAsia="zh-CN" w:bidi="ar"/>
        </w:rPr>
        <w:t xml:space="preserve"> GB 50303  建筑电气工程施工质量验收规范</w:t>
      </w:r>
    </w:p>
    <w:p w14:paraId="200AA879">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cs="宋体"/>
          <w:color w:val="auto"/>
          <w:kern w:val="0"/>
          <w:sz w:val="21"/>
          <w:szCs w:val="21"/>
          <w:lang w:val="en-US" w:eastAsia="zh-CN" w:bidi="ar"/>
        </w:rPr>
        <w:t xml:space="preserve"> GB 51348  民用建筑电气设计标准</w:t>
      </w:r>
    </w:p>
    <w:p w14:paraId="69E163F7">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rPr>
      </w:pPr>
      <w:r>
        <w:rPr>
          <w:rFonts w:hint="eastAsia" w:ascii="宋体" w:hAnsi="宋体" w:cs="宋体"/>
          <w:color w:val="auto"/>
          <w:kern w:val="0"/>
          <w:sz w:val="21"/>
          <w:szCs w:val="21"/>
          <w:lang w:val="en-US" w:eastAsia="zh-CN" w:bidi="ar"/>
        </w:rPr>
        <w:t xml:space="preserve"> GB 55024  建筑电气与智能化通用规范</w:t>
      </w:r>
    </w:p>
    <w:p w14:paraId="7BCCCC9E">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DL/T 572  电力变压器运行规程</w:t>
      </w:r>
    </w:p>
    <w:p w14:paraId="3BC47906">
      <w:pPr>
        <w:keepNext w:val="0"/>
        <w:keepLines w:val="0"/>
        <w:pageBreakBefore w:val="0"/>
        <w:widowControl/>
        <w:numPr>
          <w:ilvl w:val="0"/>
          <w:numId w:val="34"/>
        </w:numPr>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 xml:space="preserve"> DL/T 1102  配电变压器运行规程</w:t>
      </w:r>
    </w:p>
    <w:p w14:paraId="7B069D87">
      <w:pPr>
        <w:pStyle w:val="524"/>
        <w:keepNext w:val="0"/>
        <w:keepLines w:val="0"/>
        <w:pageBreakBefore w:val="0"/>
        <w:widowControl/>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color w:val="auto"/>
          <w:kern w:val="0"/>
          <w:sz w:val="21"/>
          <w:szCs w:val="21"/>
          <w:lang w:val="en-US" w:eastAsia="zh-CN" w:bidi="ar"/>
        </w:rPr>
      </w:pPr>
      <w:bookmarkStart w:id="704" w:name="终结线"/>
      <w:bookmarkEnd w:id="704"/>
      <w:r>
        <w:rPr>
          <w:rFonts w:hint="eastAsia" w:ascii="黑体" w:hAnsi="黑体" w:eastAsia="黑体" w:cs="黑体"/>
          <w:b/>
          <w:color w:val="auto"/>
          <w:kern w:val="0"/>
          <w:sz w:val="21"/>
          <w:szCs w:val="21"/>
          <w:lang w:val="en-US" w:eastAsia="zh-CN" w:bidi="ar"/>
        </w:rPr>
        <w:t>━━━━━━━━━━━</w:t>
      </w:r>
    </w:p>
    <w:sectPr>
      <w:pgSz w:w="11907" w:h="16839"/>
      <w:pgMar w:top="1418" w:right="1134" w:bottom="1134" w:left="1418" w:header="1418" w:footer="1134"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䅂䍄䕅⯋컌">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SLWGWQWJR0_19_0">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3D043">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Fonts w:hint="eastAsia" w:eastAsia="宋体"/>
        <w:lang w:eastAsia="zh-CN"/>
      </w:rPr>
    </w:pPr>
    <w:r>
      <w:rPr>
        <w:rStyle w:val="234"/>
        <w:rFonts w:hint="eastAsia"/>
        <w:lang w:eastAsia="zh-CN"/>
      </w:rPr>
      <w:t xml:space="preserve"> </w:t>
    </w:r>
  </w:p>
  <w:p w14:paraId="4062577D">
    <w:pPr>
      <w:pStyle w:val="252"/>
      <w:spacing w:before="0"/>
      <w:ind w:right="360" w:firstLine="360" w:firstLineChars="0"/>
      <w:rPr>
        <w:rStyle w:val="234"/>
      </w:rPr>
    </w:pPr>
  </w:p>
  <w:p w14:paraId="5F1FDCCD">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A45A1">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Fonts w:hint="eastAsia" w:ascii="宋体" w:hAnsi="宋体" w:eastAsia="宋体" w:cs="宋体"/>
      </w:rPr>
    </w:pPr>
    <w:r>
      <w:rPr>
        <w:rStyle w:val="234"/>
        <w:rFonts w:hint="eastAsia" w:ascii="宋体" w:hAnsi="宋体" w:eastAsia="宋体" w:cs="宋体"/>
      </w:rPr>
      <w:fldChar w:fldCharType="begin"/>
    </w:r>
    <w:r>
      <w:rPr>
        <w:rStyle w:val="234"/>
        <w:rFonts w:hint="eastAsia" w:ascii="宋体" w:hAnsi="宋体" w:eastAsia="宋体" w:cs="宋体"/>
      </w:rPr>
      <w:instrText xml:space="preserve"> PAGE </w:instrText>
    </w:r>
    <w:r>
      <w:rPr>
        <w:rStyle w:val="234"/>
        <w:rFonts w:hint="eastAsia" w:ascii="宋体" w:hAnsi="宋体" w:eastAsia="宋体" w:cs="宋体"/>
      </w:rPr>
      <w:fldChar w:fldCharType="separate"/>
    </w:r>
    <w:r>
      <w:rPr>
        <w:rStyle w:val="234"/>
        <w:rFonts w:hint="eastAsia" w:ascii="宋体" w:hAnsi="宋体" w:eastAsia="宋体" w:cs="宋体"/>
      </w:rPr>
      <w:t>1</w:t>
    </w:r>
    <w:r>
      <w:rPr>
        <w:rStyle w:val="234"/>
        <w:rFonts w:hint="eastAsia" w:ascii="宋体" w:hAnsi="宋体" w:eastAsia="宋体" w:cs="宋体"/>
      </w:rPr>
      <w:fldChar w:fldCharType="end"/>
    </w:r>
  </w:p>
  <w:p w14:paraId="502E12B1">
    <w:pPr>
      <w:pStyle w:val="251"/>
      <w:spacing w:before="0"/>
      <w:ind w:right="360" w:firstLine="360" w:firstLineChars="0"/>
      <w:rPr>
        <w:rStyle w:val="234"/>
        <w:rFonts w:hint="default" w:eastAsia="宋体"/>
        <w:lang w:val="en-US" w:eastAsia="zh-CN"/>
      </w:rPr>
    </w:pPr>
    <w:r>
      <w:rPr>
        <w:rStyle w:val="234"/>
        <w:rFonts w:hint="eastAsia"/>
        <w:lang w:val="en-US" w:eastAsia="zh-CN"/>
      </w:rPr>
      <w:t xml:space="preserve">                                                                                    </w:t>
    </w:r>
  </w:p>
  <w:p w14:paraId="67479547">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9B82">
    <w:pPr>
      <w:pStyle w:val="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E45C">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6B499E4F">
    <w:pPr>
      <w:pStyle w:val="252"/>
      <w:spacing w:before="0"/>
      <w:ind w:right="360" w:firstLine="360" w:firstLineChars="0"/>
      <w:rPr>
        <w:rStyle w:val="234"/>
      </w:rPr>
    </w:pPr>
  </w:p>
  <w:p w14:paraId="6B41847F">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59AA">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Fonts w:hint="eastAsia" w:ascii="宋体" w:hAnsi="宋体" w:eastAsia="宋体" w:cs="宋体"/>
      </w:rPr>
      <w:fldChar w:fldCharType="begin"/>
    </w:r>
    <w:r>
      <w:rPr>
        <w:rStyle w:val="234"/>
        <w:rFonts w:hint="eastAsia" w:ascii="宋体" w:hAnsi="宋体" w:eastAsia="宋体" w:cs="宋体"/>
      </w:rPr>
      <w:instrText xml:space="preserve"> PAGE </w:instrText>
    </w:r>
    <w:r>
      <w:rPr>
        <w:rStyle w:val="234"/>
        <w:rFonts w:hint="eastAsia" w:ascii="宋体" w:hAnsi="宋体" w:eastAsia="宋体" w:cs="宋体"/>
      </w:rPr>
      <w:fldChar w:fldCharType="separate"/>
    </w:r>
    <w:r>
      <w:rPr>
        <w:rStyle w:val="234"/>
        <w:rFonts w:hint="eastAsia" w:ascii="宋体" w:hAnsi="宋体" w:eastAsia="宋体" w:cs="宋体"/>
      </w:rPr>
      <w:t>1</w:t>
    </w:r>
    <w:r>
      <w:rPr>
        <w:rStyle w:val="234"/>
        <w:rFonts w:hint="eastAsia" w:ascii="宋体" w:hAnsi="宋体" w:eastAsia="宋体" w:cs="宋体"/>
      </w:rPr>
      <w:fldChar w:fldCharType="end"/>
    </w:r>
  </w:p>
  <w:p w14:paraId="36F704EE">
    <w:pPr>
      <w:pStyle w:val="252"/>
      <w:spacing w:before="0"/>
      <w:ind w:right="360" w:firstLine="360" w:firstLineChars="0"/>
      <w:rPr>
        <w:rStyle w:val="234"/>
      </w:rPr>
    </w:pPr>
  </w:p>
  <w:p w14:paraId="036C53A1">
    <w:pPr>
      <w:pStyle w:val="252"/>
      <w:spacing w:before="0"/>
      <w:rPr>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8A0A1">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57EE75BA">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494A">
    <w:pPr>
      <w:pStyle w:val="253"/>
      <w:bidi w:val="0"/>
      <w:rPr>
        <w:rFonts w:hint="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BC500">
    <w:pPr>
      <w:pStyle w:val="254"/>
      <w:bidi w:val="0"/>
      <w:rPr>
        <w:rFonts w:hint="eastAsia"/>
        <w:lang w:eastAsia="zh-CN"/>
      </w:rPr>
    </w:pPr>
    <w:r>
      <w:rPr>
        <w:rFonts w:hint="eastAsia"/>
        <w:lang w:eastAsia="zh-CN"/>
      </w:rPr>
      <w:t>T/CQFPA 001-2024</w:t>
    </w:r>
  </w:p>
  <w:p w14:paraId="2ADAC4D3">
    <w:pPr>
      <w:pStyle w:val="254"/>
      <w:bidi w:val="0"/>
      <w:rPr>
        <w:rFonts w:hint="eastAsia"/>
        <w:lang w:eastAsia="zh-CN"/>
      </w:rPr>
    </w:pPr>
    <w:r>
      <w:rPr>
        <w:rFonts w:hint="eastAsia"/>
        <w:lang w:eastAsia="zh-CN"/>
      </w:rPr>
      <w:t>T/SCXFXH 001-2024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A1D70">
    <w:pPr>
      <w:pStyle w:val="255"/>
      <w:bidi w:val="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3E1BF">
    <w:pPr>
      <w:pStyle w:val="253"/>
      <w:keepNext w:val="0"/>
      <w:keepLines w:val="0"/>
      <w:pageBreakBefore w:val="0"/>
      <w:widowControl/>
      <w:kinsoku/>
      <w:wordWrap/>
      <w:overflowPunct/>
      <w:topLinePunct w:val="0"/>
      <w:autoSpaceDE/>
      <w:autoSpaceDN/>
      <w:bidi w:val="0"/>
      <w:adjustRightInd/>
      <w:snapToGrid/>
      <w:spacing w:after="0"/>
      <w:textAlignment w:val="auto"/>
      <w:rPr>
        <w:rFonts w:hint="eastAsia"/>
        <w:lang w:eastAsia="zh-CN"/>
      </w:rPr>
    </w:pPr>
    <w:r>
      <w:rPr>
        <w:rFonts w:hint="eastAsia"/>
        <w:lang w:eastAsia="zh-CN"/>
      </w:rPr>
      <w:t>T/CQFPA 001-2024</w:t>
    </w:r>
  </w:p>
  <w:p w14:paraId="79AC1324">
    <w:pPr>
      <w:pStyle w:val="253"/>
      <w:keepNext w:val="0"/>
      <w:keepLines w:val="0"/>
      <w:pageBreakBefore w:val="0"/>
      <w:widowControl/>
      <w:kinsoku/>
      <w:wordWrap/>
      <w:overflowPunct/>
      <w:topLinePunct w:val="0"/>
      <w:autoSpaceDE/>
      <w:autoSpaceDN/>
      <w:bidi w:val="0"/>
      <w:adjustRightInd/>
      <w:snapToGrid/>
      <w:spacing w:after="0"/>
      <w:textAlignment w:val="auto"/>
      <w:rPr>
        <w:rFonts w:hint="eastAsia"/>
        <w:lang w:eastAsia="zh-CN"/>
      </w:rPr>
    </w:pPr>
    <w:r>
      <w:rPr>
        <w:rFonts w:hint="eastAsia"/>
        <w:lang w:eastAsia="zh-CN"/>
      </w:rPr>
      <w:t xml:space="preserve">   T/SCXFXH 001-2024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DC9C">
    <w:pPr>
      <w:pStyle w:val="6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1A342">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0A9C8"/>
    <w:multiLevelType w:val="singleLevel"/>
    <w:tmpl w:val="8760A9C8"/>
    <w:lvl w:ilvl="0" w:tentative="0">
      <w:start w:val="2"/>
      <w:numFmt w:val="chineseCounting"/>
      <w:suff w:val="nothing"/>
      <w:lvlText w:val="%1、"/>
      <w:lvlJc w:val="left"/>
      <w:rPr>
        <w:rFonts w:hint="eastAsia"/>
      </w:rPr>
    </w:lvl>
  </w:abstractNum>
  <w:abstractNum w:abstractNumId="1">
    <w:nsid w:val="A642C6CF"/>
    <w:multiLevelType w:val="multilevel"/>
    <w:tmpl w:val="A642C6CF"/>
    <w:lvl w:ilvl="0" w:tentative="0">
      <w:start w:val="1"/>
      <w:numFmt w:val="upperLetter"/>
      <w:pStyle w:val="347"/>
      <w:lvlText w:val="%1"/>
      <w:lvlJc w:val="left"/>
      <w:pPr>
        <w:tabs>
          <w:tab w:val="left" w:pos="0"/>
        </w:tabs>
        <w:ind w:left="0" w:leftChars="0" w:firstLine="0" w:firstLineChars="0"/>
      </w:pPr>
      <w:rPr>
        <w:rFonts w:hint="default" w:ascii="宋体" w:hAnsi="宋体" w:eastAsia="宋体" w:cs="宋体"/>
        <w:b w:val="0"/>
        <w:i w:val="0"/>
        <w:caps w:val="0"/>
        <w:strike w:val="0"/>
        <w:dstrike w:val="0"/>
        <w:vanish w:val="0"/>
        <w:color w:val="FFFFFF"/>
        <w:sz w:val="2"/>
        <w:u w:val="none"/>
      </w:rPr>
    </w:lvl>
    <w:lvl w:ilvl="1" w:tentative="0">
      <w:start w:val="1"/>
      <w:numFmt w:val="decimal"/>
      <w:pStyle w:val="275"/>
      <w:suff w:val="nothing"/>
      <w:lvlText w:val="表%1.%2　"/>
      <w:lvlJc w:val="left"/>
      <w:pPr>
        <w:ind w:left="0" w:leftChars="0" w:firstLine="0" w:firstLineChars="0"/>
      </w:pPr>
      <w:rPr>
        <w:rFonts w:hint="default" w:ascii="黑体" w:hAnsi="黑体" w:eastAsia="黑体" w:cs="黑体"/>
        <w:b w:val="0"/>
        <w:i w:val="0"/>
        <w:caps w:val="0"/>
        <w:strike w:val="0"/>
        <w:dstrike w:val="0"/>
        <w:vanish w:val="0"/>
        <w:color w:val="000000"/>
        <w:sz w:val="21"/>
        <w:u w:val="none"/>
      </w:rPr>
    </w:lvl>
    <w:lvl w:ilvl="2" w:tentative="0">
      <w:start w:val="1"/>
      <w:numFmt w:val="decimal"/>
      <w:pStyle w:val="317"/>
      <w:suff w:val="nothing"/>
      <w:lvlText w:val="表%1.%2　"/>
      <w:lvlJc w:val="left"/>
      <w:pPr>
        <w:ind w:left="0" w:leftChars="0" w:firstLine="0" w:firstLineChars="0"/>
      </w:pPr>
      <w:rPr>
        <w:rFonts w:hint="default" w:ascii="黑体" w:hAnsi="黑体" w:eastAsia="黑体" w:cs="黑体"/>
        <w:b w:val="0"/>
        <w:i w:val="0"/>
        <w:caps w:val="0"/>
        <w:strike w:val="0"/>
        <w:dstrike w:val="0"/>
        <w:vanish w:val="0"/>
        <w:color w:val="000000"/>
        <w:sz w:val="21"/>
        <w:u w:val="none"/>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2">
    <w:nsid w:val="D7153597"/>
    <w:multiLevelType w:val="singleLevel"/>
    <w:tmpl w:val="D7153597"/>
    <w:lvl w:ilvl="0" w:tentative="0">
      <w:start w:val="1"/>
      <w:numFmt w:val="decimal"/>
      <w:suff w:val="space"/>
      <w:lvlText w:val="[%1]"/>
      <w:lvlJc w:val="left"/>
    </w:lvl>
  </w:abstractNum>
  <w:abstractNum w:abstractNumId="3">
    <w:nsid w:val="D84BB021"/>
    <w:multiLevelType w:val="singleLevel"/>
    <w:tmpl w:val="D84BB021"/>
    <w:lvl w:ilvl="0" w:tentative="0">
      <w:start w:val="1"/>
      <w:numFmt w:val="lowerLetter"/>
      <w:suff w:val="space"/>
      <w:lvlText w:val="%1)"/>
      <w:lvlJc w:val="left"/>
    </w:lvl>
  </w:abstractNum>
  <w:abstractNum w:abstractNumId="4">
    <w:nsid w:val="F915A510"/>
    <w:multiLevelType w:val="multilevel"/>
    <w:tmpl w:val="F915A510"/>
    <w:lvl w:ilvl="0" w:tentative="0">
      <w:start w:val="1"/>
      <w:numFmt w:val="upperLetter"/>
      <w:lvlText w:val="%1"/>
      <w:lvlJc w:val="left"/>
      <w:pPr>
        <w:ind w:left="0" w:leftChars="0" w:firstLine="0" w:firstLineChars="0"/>
      </w:pPr>
      <w:rPr>
        <w:rFonts w:hint="default" w:ascii="宋体" w:hAnsi="宋体" w:eastAsia="宋体" w:cs="宋体"/>
        <w:b w:val="0"/>
        <w:i w:val="0"/>
        <w:caps w:val="0"/>
        <w:strike w:val="0"/>
        <w:dstrike w:val="0"/>
        <w:vanish w:val="0"/>
        <w:color w:val="FFFFFF"/>
        <w:sz w:val="2"/>
        <w:u w:val="none"/>
      </w:rPr>
    </w:lvl>
    <w:lvl w:ilvl="1" w:tentative="0">
      <w:start w:val="1"/>
      <w:numFmt w:val="decimal"/>
      <w:suff w:val="nothing"/>
      <w:lvlText w:val="图%1.%2　"/>
      <w:lvlJc w:val="left"/>
      <w:pPr>
        <w:ind w:left="0" w:leftChars="0" w:firstLine="0" w:firstLineChars="0"/>
      </w:pPr>
      <w:rPr>
        <w:rFonts w:hint="default" w:ascii="黑体" w:hAnsi="黑体" w:eastAsia="黑体" w:cs="黑体"/>
        <w:b w:val="0"/>
        <w:i w:val="0"/>
        <w:caps w:val="0"/>
        <w:strike w:val="0"/>
        <w:dstrike w:val="0"/>
        <w:vanish w:val="0"/>
        <w:color w:val="000000"/>
        <w:sz w:val="21"/>
        <w:u w:val="none"/>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6">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7">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8">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9">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10">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11">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2">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3">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4">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5">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8">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9">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20">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2">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5">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8">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741B9DDC"/>
    <w:multiLevelType w:val="multilevel"/>
    <w:tmpl w:val="741B9DDC"/>
    <w:lvl w:ilvl="0" w:tentative="0">
      <w:start w:val="1"/>
      <w:numFmt w:val="upperLetter"/>
      <w:pStyle w:val="348"/>
      <w:lvlText w:val="%1"/>
      <w:lvlJc w:val="left"/>
      <w:pPr>
        <w:ind w:left="0" w:leftChars="0" w:firstLine="0" w:firstLineChars="0"/>
      </w:pPr>
      <w:rPr>
        <w:rFonts w:hint="default" w:ascii="宋体" w:hAnsi="宋体" w:eastAsia="宋体" w:cs="宋体"/>
        <w:b w:val="0"/>
        <w:i w:val="0"/>
        <w:caps w:val="0"/>
        <w:strike w:val="0"/>
        <w:dstrike w:val="0"/>
        <w:vanish w:val="0"/>
        <w:color w:val="FFFFFF"/>
        <w:sz w:val="2"/>
        <w:u w:val="none"/>
      </w:rPr>
    </w:lvl>
    <w:lvl w:ilvl="1" w:tentative="0">
      <w:start w:val="1"/>
      <w:numFmt w:val="decimal"/>
      <w:pStyle w:val="281"/>
      <w:suff w:val="nothing"/>
      <w:lvlText w:val="图%1.%2　"/>
      <w:lvlJc w:val="left"/>
      <w:pPr>
        <w:ind w:left="0" w:leftChars="0" w:firstLine="0" w:firstLineChars="0"/>
      </w:pPr>
      <w:rPr>
        <w:rFonts w:hint="default" w:ascii="黑体" w:hAnsi="黑体" w:eastAsia="黑体" w:cs="黑体"/>
        <w:b w:val="0"/>
        <w:i w:val="0"/>
        <w:caps w:val="0"/>
        <w:strike w:val="0"/>
        <w:dstrike w:val="0"/>
        <w:vanish w:val="0"/>
        <w:color w:val="000000"/>
        <w:sz w:val="21"/>
        <w:u w:val="none"/>
      </w:rPr>
    </w:lvl>
    <w:lvl w:ilvl="2" w:tentative="0">
      <w:start w:val="1"/>
      <w:numFmt w:val="decimal"/>
      <w:suff w:val="nothing"/>
      <w:lvlText w:val="表%1.%2　"/>
      <w:lvlJc w:val="left"/>
      <w:pPr>
        <w:ind w:left="0" w:leftChars="0" w:firstLine="0" w:firstLineChars="0"/>
      </w:pPr>
      <w:rPr>
        <w:rFonts w:hint="default" w:ascii="黑体" w:hAnsi="黑体" w:eastAsia="黑体" w:cs="黑体"/>
        <w:b w:val="0"/>
        <w:i w:val="0"/>
        <w:caps w:val="0"/>
        <w:strike w:val="0"/>
        <w:dstrike w:val="0"/>
        <w:vanish w:val="0"/>
        <w:color w:val="000000"/>
        <w:sz w:val="21"/>
        <w:u w:val="none"/>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2">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3">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8"/>
  </w:num>
  <w:num w:numId="4">
    <w:abstractNumId w:val="10"/>
  </w:num>
  <w:num w:numId="5">
    <w:abstractNumId w:val="13"/>
  </w:num>
  <w:num w:numId="6">
    <w:abstractNumId w:val="14"/>
  </w:num>
  <w:num w:numId="7">
    <w:abstractNumId w:val="11"/>
  </w:num>
  <w:num w:numId="8">
    <w:abstractNumId w:val="7"/>
  </w:num>
  <w:num w:numId="9">
    <w:abstractNumId w:val="12"/>
  </w:num>
  <w:num w:numId="10">
    <w:abstractNumId w:val="9"/>
  </w:num>
  <w:num w:numId="11">
    <w:abstractNumId w:val="6"/>
  </w:num>
  <w:num w:numId="12">
    <w:abstractNumId w:val="5"/>
  </w:num>
  <w:num w:numId="13">
    <w:abstractNumId w:val="20"/>
  </w:num>
  <w:num w:numId="14">
    <w:abstractNumId w:val="28"/>
  </w:num>
  <w:num w:numId="15">
    <w:abstractNumId w:val="31"/>
  </w:num>
  <w:num w:numId="16">
    <w:abstractNumId w:val="33"/>
  </w:num>
  <w:num w:numId="17">
    <w:abstractNumId w:val="18"/>
  </w:num>
  <w:num w:numId="18">
    <w:abstractNumId w:val="23"/>
  </w:num>
  <w:num w:numId="19">
    <w:abstractNumId w:val="27"/>
  </w:num>
  <w:num w:numId="20">
    <w:abstractNumId w:val="17"/>
  </w:num>
  <w:num w:numId="21">
    <w:abstractNumId w:val="25"/>
  </w:num>
  <w:num w:numId="22">
    <w:abstractNumId w:val="30"/>
  </w:num>
  <w:num w:numId="23">
    <w:abstractNumId w:val="15"/>
  </w:num>
  <w:num w:numId="24">
    <w:abstractNumId w:val="24"/>
  </w:num>
  <w:num w:numId="25">
    <w:abstractNumId w:val="32"/>
  </w:num>
  <w:num w:numId="26">
    <w:abstractNumId w:val="19"/>
  </w:num>
  <w:num w:numId="27">
    <w:abstractNumId w:val="22"/>
  </w:num>
  <w:num w:numId="28">
    <w:abstractNumId w:val="16"/>
  </w:num>
  <w:num w:numId="29">
    <w:abstractNumId w:val="29"/>
  </w:num>
  <w:num w:numId="30">
    <w:abstractNumId w:val="26"/>
  </w:num>
  <w:num w:numId="31">
    <w:abstractNumId w:val="21"/>
  </w:num>
  <w:num w:numId="32">
    <w:abstractNumId w:val="3"/>
  </w:num>
  <w:num w:numId="33">
    <w:abstractNumId w:val="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hZDRhNDE2ZWM3NzJlOTE0Mzk2Y2U1ODUyNTIyZTQifQ=="/>
    <w:docVar w:name="KSO_WPS_MARK_KEY" w:val="5ec38306-f48b-4d4b-b463-bf580db3e169"/>
  </w:docVars>
  <w:rsids>
    <w:rsidRoot w:val="63300C6C"/>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11CD3"/>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25CF"/>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4ADD"/>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1A06E9D"/>
    <w:rsid w:val="01D45C7C"/>
    <w:rsid w:val="01E34A2D"/>
    <w:rsid w:val="02704AC1"/>
    <w:rsid w:val="02942B85"/>
    <w:rsid w:val="030C44FD"/>
    <w:rsid w:val="03597303"/>
    <w:rsid w:val="03A85A55"/>
    <w:rsid w:val="03AE32BE"/>
    <w:rsid w:val="041D1C92"/>
    <w:rsid w:val="04622E73"/>
    <w:rsid w:val="04692357"/>
    <w:rsid w:val="0580185D"/>
    <w:rsid w:val="05B253F0"/>
    <w:rsid w:val="05C15C15"/>
    <w:rsid w:val="061B1C3B"/>
    <w:rsid w:val="06D04346"/>
    <w:rsid w:val="07080621"/>
    <w:rsid w:val="07133C6D"/>
    <w:rsid w:val="0737409F"/>
    <w:rsid w:val="075B6855"/>
    <w:rsid w:val="075C0E40"/>
    <w:rsid w:val="075C73C2"/>
    <w:rsid w:val="076239C8"/>
    <w:rsid w:val="0768465A"/>
    <w:rsid w:val="077B3ED1"/>
    <w:rsid w:val="07807645"/>
    <w:rsid w:val="0974751C"/>
    <w:rsid w:val="0A4E2D36"/>
    <w:rsid w:val="0AAF1847"/>
    <w:rsid w:val="0AFA0F02"/>
    <w:rsid w:val="0B275F39"/>
    <w:rsid w:val="0B324039"/>
    <w:rsid w:val="0B390434"/>
    <w:rsid w:val="0B3F7726"/>
    <w:rsid w:val="0B6C3742"/>
    <w:rsid w:val="0C0F70F9"/>
    <w:rsid w:val="0C120997"/>
    <w:rsid w:val="0C362D03"/>
    <w:rsid w:val="0CB84454"/>
    <w:rsid w:val="0CCD4CCD"/>
    <w:rsid w:val="0E06277D"/>
    <w:rsid w:val="0E4868F2"/>
    <w:rsid w:val="0E4B6986"/>
    <w:rsid w:val="0E5F5406"/>
    <w:rsid w:val="0EE71B02"/>
    <w:rsid w:val="0F473047"/>
    <w:rsid w:val="102962A1"/>
    <w:rsid w:val="10371D79"/>
    <w:rsid w:val="106823F3"/>
    <w:rsid w:val="107B1E9B"/>
    <w:rsid w:val="10FF7000"/>
    <w:rsid w:val="111D5D5A"/>
    <w:rsid w:val="112E6273"/>
    <w:rsid w:val="11AC0A10"/>
    <w:rsid w:val="11B85B3D"/>
    <w:rsid w:val="11BA3663"/>
    <w:rsid w:val="11F8062F"/>
    <w:rsid w:val="124E251A"/>
    <w:rsid w:val="12512CCB"/>
    <w:rsid w:val="12696E37"/>
    <w:rsid w:val="1272218F"/>
    <w:rsid w:val="12BD7AE3"/>
    <w:rsid w:val="12EA2F3A"/>
    <w:rsid w:val="132052F0"/>
    <w:rsid w:val="137E2E86"/>
    <w:rsid w:val="13950723"/>
    <w:rsid w:val="13F015BE"/>
    <w:rsid w:val="140E7E0D"/>
    <w:rsid w:val="14627FE2"/>
    <w:rsid w:val="14A733C6"/>
    <w:rsid w:val="151B08BC"/>
    <w:rsid w:val="15637FC7"/>
    <w:rsid w:val="15A90DCF"/>
    <w:rsid w:val="15DA6465"/>
    <w:rsid w:val="160F5F9A"/>
    <w:rsid w:val="168D57EA"/>
    <w:rsid w:val="169052DA"/>
    <w:rsid w:val="16D81703"/>
    <w:rsid w:val="17661661"/>
    <w:rsid w:val="176A5B2B"/>
    <w:rsid w:val="18297794"/>
    <w:rsid w:val="182E6B59"/>
    <w:rsid w:val="18FE633B"/>
    <w:rsid w:val="190A3122"/>
    <w:rsid w:val="195D1C32"/>
    <w:rsid w:val="19C84D8B"/>
    <w:rsid w:val="19F768F7"/>
    <w:rsid w:val="1A085187"/>
    <w:rsid w:val="1AD01AC9"/>
    <w:rsid w:val="1AD43235"/>
    <w:rsid w:val="1B086E06"/>
    <w:rsid w:val="1B65749E"/>
    <w:rsid w:val="1BDD4B1E"/>
    <w:rsid w:val="1C1222ED"/>
    <w:rsid w:val="1C8A6670"/>
    <w:rsid w:val="1CAC44F0"/>
    <w:rsid w:val="1D337A53"/>
    <w:rsid w:val="1D705868"/>
    <w:rsid w:val="1DC35952"/>
    <w:rsid w:val="1DCD766E"/>
    <w:rsid w:val="1DE81BB7"/>
    <w:rsid w:val="1DFD4723"/>
    <w:rsid w:val="1E050DC3"/>
    <w:rsid w:val="1E5E16E1"/>
    <w:rsid w:val="1E61280A"/>
    <w:rsid w:val="1E935922"/>
    <w:rsid w:val="1EC04283"/>
    <w:rsid w:val="1EFF06D1"/>
    <w:rsid w:val="1FB0223A"/>
    <w:rsid w:val="1FDF538D"/>
    <w:rsid w:val="20BB106F"/>
    <w:rsid w:val="21710A4D"/>
    <w:rsid w:val="220152DE"/>
    <w:rsid w:val="224A03B5"/>
    <w:rsid w:val="229879F0"/>
    <w:rsid w:val="22B01372"/>
    <w:rsid w:val="22C04851"/>
    <w:rsid w:val="22E16DDB"/>
    <w:rsid w:val="233D0598"/>
    <w:rsid w:val="233D5EA2"/>
    <w:rsid w:val="23BB7E35"/>
    <w:rsid w:val="24A501A2"/>
    <w:rsid w:val="25EE0C23"/>
    <w:rsid w:val="25F13A07"/>
    <w:rsid w:val="26B542F4"/>
    <w:rsid w:val="26D107F9"/>
    <w:rsid w:val="27223D2C"/>
    <w:rsid w:val="276B7873"/>
    <w:rsid w:val="276E2ACE"/>
    <w:rsid w:val="27BB5D65"/>
    <w:rsid w:val="27D52A25"/>
    <w:rsid w:val="28193D2A"/>
    <w:rsid w:val="28824CD1"/>
    <w:rsid w:val="28902E1F"/>
    <w:rsid w:val="28B9246E"/>
    <w:rsid w:val="28F74D45"/>
    <w:rsid w:val="297C3D31"/>
    <w:rsid w:val="2987431B"/>
    <w:rsid w:val="29E57C5A"/>
    <w:rsid w:val="2A621CC0"/>
    <w:rsid w:val="2A8E01FC"/>
    <w:rsid w:val="2ABB0720"/>
    <w:rsid w:val="2AD46379"/>
    <w:rsid w:val="2ADC0495"/>
    <w:rsid w:val="2AE22BC8"/>
    <w:rsid w:val="2B427374"/>
    <w:rsid w:val="2B560448"/>
    <w:rsid w:val="2BAA05AF"/>
    <w:rsid w:val="2C4D6197"/>
    <w:rsid w:val="2D233DAE"/>
    <w:rsid w:val="2D404F0C"/>
    <w:rsid w:val="2D4349FC"/>
    <w:rsid w:val="2D4D587B"/>
    <w:rsid w:val="2E277E7A"/>
    <w:rsid w:val="2F4B3286"/>
    <w:rsid w:val="317E2D84"/>
    <w:rsid w:val="31D91DBA"/>
    <w:rsid w:val="32040B68"/>
    <w:rsid w:val="3212203F"/>
    <w:rsid w:val="32136AC2"/>
    <w:rsid w:val="322E49F9"/>
    <w:rsid w:val="32867865"/>
    <w:rsid w:val="32B1065A"/>
    <w:rsid w:val="32C570BA"/>
    <w:rsid w:val="331D1490"/>
    <w:rsid w:val="33D53ED4"/>
    <w:rsid w:val="34D32B0A"/>
    <w:rsid w:val="354E60E2"/>
    <w:rsid w:val="356469EF"/>
    <w:rsid w:val="356E1F36"/>
    <w:rsid w:val="356F0E20"/>
    <w:rsid w:val="36286199"/>
    <w:rsid w:val="364E58BC"/>
    <w:rsid w:val="368B22C2"/>
    <w:rsid w:val="369849BD"/>
    <w:rsid w:val="36CE0629"/>
    <w:rsid w:val="36E3011C"/>
    <w:rsid w:val="37B161D1"/>
    <w:rsid w:val="380F75E4"/>
    <w:rsid w:val="385E57E6"/>
    <w:rsid w:val="387243E8"/>
    <w:rsid w:val="38806455"/>
    <w:rsid w:val="38E726E0"/>
    <w:rsid w:val="396C52DB"/>
    <w:rsid w:val="39AF3CC9"/>
    <w:rsid w:val="3A184B1B"/>
    <w:rsid w:val="3A296D28"/>
    <w:rsid w:val="3A2D1ACC"/>
    <w:rsid w:val="3A5C2699"/>
    <w:rsid w:val="3A7929CB"/>
    <w:rsid w:val="3AA452E8"/>
    <w:rsid w:val="3AD56CC2"/>
    <w:rsid w:val="3B021A53"/>
    <w:rsid w:val="3B365BA1"/>
    <w:rsid w:val="3B500204"/>
    <w:rsid w:val="3C202EE7"/>
    <w:rsid w:val="3C3A6FCB"/>
    <w:rsid w:val="3CD00724"/>
    <w:rsid w:val="3D2739F3"/>
    <w:rsid w:val="3D6A0D87"/>
    <w:rsid w:val="3E6842C3"/>
    <w:rsid w:val="3EE0165D"/>
    <w:rsid w:val="3F11193A"/>
    <w:rsid w:val="3F224721"/>
    <w:rsid w:val="3F7B245F"/>
    <w:rsid w:val="3F8F704B"/>
    <w:rsid w:val="3FBA6005"/>
    <w:rsid w:val="3FCA37DB"/>
    <w:rsid w:val="40251D40"/>
    <w:rsid w:val="403116E7"/>
    <w:rsid w:val="406F15FB"/>
    <w:rsid w:val="408D6263"/>
    <w:rsid w:val="40B05AAD"/>
    <w:rsid w:val="40D00EB9"/>
    <w:rsid w:val="41596145"/>
    <w:rsid w:val="41F62235"/>
    <w:rsid w:val="430B16C1"/>
    <w:rsid w:val="43705C94"/>
    <w:rsid w:val="438C2802"/>
    <w:rsid w:val="43E44ACD"/>
    <w:rsid w:val="44320519"/>
    <w:rsid w:val="44346DA7"/>
    <w:rsid w:val="4483597D"/>
    <w:rsid w:val="44AC21ED"/>
    <w:rsid w:val="44B518E4"/>
    <w:rsid w:val="44ED71B7"/>
    <w:rsid w:val="451B276B"/>
    <w:rsid w:val="45C42E27"/>
    <w:rsid w:val="460159A0"/>
    <w:rsid w:val="46500C71"/>
    <w:rsid w:val="465F6AE2"/>
    <w:rsid w:val="46B1503E"/>
    <w:rsid w:val="47073C34"/>
    <w:rsid w:val="47C73F0B"/>
    <w:rsid w:val="48446767"/>
    <w:rsid w:val="48735D3E"/>
    <w:rsid w:val="48A51332"/>
    <w:rsid w:val="48CB2766"/>
    <w:rsid w:val="48FB44F3"/>
    <w:rsid w:val="499F3C43"/>
    <w:rsid w:val="49BB659E"/>
    <w:rsid w:val="49C304C6"/>
    <w:rsid w:val="49EE2F51"/>
    <w:rsid w:val="4A02485B"/>
    <w:rsid w:val="4A104000"/>
    <w:rsid w:val="4A292188"/>
    <w:rsid w:val="4A866825"/>
    <w:rsid w:val="4A8A3D5B"/>
    <w:rsid w:val="4A9F106C"/>
    <w:rsid w:val="4ABF0C00"/>
    <w:rsid w:val="4B237D08"/>
    <w:rsid w:val="4B4A0085"/>
    <w:rsid w:val="4BA821D9"/>
    <w:rsid w:val="4BF5409E"/>
    <w:rsid w:val="4C393C27"/>
    <w:rsid w:val="4CA343B8"/>
    <w:rsid w:val="4CAF130F"/>
    <w:rsid w:val="4D656DD3"/>
    <w:rsid w:val="4DBD5360"/>
    <w:rsid w:val="4E105DDD"/>
    <w:rsid w:val="4F037F97"/>
    <w:rsid w:val="4F0A6B44"/>
    <w:rsid w:val="4F52191F"/>
    <w:rsid w:val="4F5B577E"/>
    <w:rsid w:val="4F5C3615"/>
    <w:rsid w:val="4FE5670E"/>
    <w:rsid w:val="503076D9"/>
    <w:rsid w:val="5054476F"/>
    <w:rsid w:val="50816CB4"/>
    <w:rsid w:val="50EC2B32"/>
    <w:rsid w:val="513149E8"/>
    <w:rsid w:val="51453FF0"/>
    <w:rsid w:val="514F045F"/>
    <w:rsid w:val="51A774B9"/>
    <w:rsid w:val="51AA1437"/>
    <w:rsid w:val="52F60736"/>
    <w:rsid w:val="53516FB9"/>
    <w:rsid w:val="53E53868"/>
    <w:rsid w:val="53E835A2"/>
    <w:rsid w:val="53EC4876"/>
    <w:rsid w:val="55A734CB"/>
    <w:rsid w:val="55DB7F9A"/>
    <w:rsid w:val="56613BC6"/>
    <w:rsid w:val="56A4388D"/>
    <w:rsid w:val="56F75D8C"/>
    <w:rsid w:val="57842C6E"/>
    <w:rsid w:val="57AC12E1"/>
    <w:rsid w:val="57DA7034"/>
    <w:rsid w:val="57EC53FF"/>
    <w:rsid w:val="585D4AAE"/>
    <w:rsid w:val="58802BB0"/>
    <w:rsid w:val="58C83E84"/>
    <w:rsid w:val="58D91C8B"/>
    <w:rsid w:val="59B9061C"/>
    <w:rsid w:val="5B6F4A8B"/>
    <w:rsid w:val="5B870D24"/>
    <w:rsid w:val="5C685272"/>
    <w:rsid w:val="5C8473F4"/>
    <w:rsid w:val="5C934B99"/>
    <w:rsid w:val="5CCC5BEA"/>
    <w:rsid w:val="5D0706CB"/>
    <w:rsid w:val="5D56454A"/>
    <w:rsid w:val="5D9C768D"/>
    <w:rsid w:val="5DBF3C1C"/>
    <w:rsid w:val="5E0E058B"/>
    <w:rsid w:val="5E164DF6"/>
    <w:rsid w:val="5E562C87"/>
    <w:rsid w:val="5E794835"/>
    <w:rsid w:val="5F2913F5"/>
    <w:rsid w:val="5F862461"/>
    <w:rsid w:val="60261490"/>
    <w:rsid w:val="609D79A4"/>
    <w:rsid w:val="613D6A07"/>
    <w:rsid w:val="61811074"/>
    <w:rsid w:val="61834DEC"/>
    <w:rsid w:val="62175ED4"/>
    <w:rsid w:val="62A1615C"/>
    <w:rsid w:val="631C679C"/>
    <w:rsid w:val="6343777A"/>
    <w:rsid w:val="634443D3"/>
    <w:rsid w:val="634B4390"/>
    <w:rsid w:val="635A449C"/>
    <w:rsid w:val="636C26A2"/>
    <w:rsid w:val="639428D4"/>
    <w:rsid w:val="639516FF"/>
    <w:rsid w:val="63A948B2"/>
    <w:rsid w:val="63C43D98"/>
    <w:rsid w:val="63C524A6"/>
    <w:rsid w:val="63D3255E"/>
    <w:rsid w:val="63DC6A36"/>
    <w:rsid w:val="644A4A48"/>
    <w:rsid w:val="65816C06"/>
    <w:rsid w:val="659A1083"/>
    <w:rsid w:val="65C94971"/>
    <w:rsid w:val="662E6926"/>
    <w:rsid w:val="668E0C7E"/>
    <w:rsid w:val="668F1ACD"/>
    <w:rsid w:val="66D165FA"/>
    <w:rsid w:val="67B53C44"/>
    <w:rsid w:val="67EB5499"/>
    <w:rsid w:val="685748DD"/>
    <w:rsid w:val="68660FC4"/>
    <w:rsid w:val="68680E34"/>
    <w:rsid w:val="686A3259"/>
    <w:rsid w:val="68995E47"/>
    <w:rsid w:val="68E775E6"/>
    <w:rsid w:val="68F22484"/>
    <w:rsid w:val="69132EFA"/>
    <w:rsid w:val="69405787"/>
    <w:rsid w:val="69C51D1A"/>
    <w:rsid w:val="6A9B33DB"/>
    <w:rsid w:val="6AF42ACD"/>
    <w:rsid w:val="6B0C754A"/>
    <w:rsid w:val="6B271D47"/>
    <w:rsid w:val="6B9B2D32"/>
    <w:rsid w:val="6C012722"/>
    <w:rsid w:val="6C44161C"/>
    <w:rsid w:val="6D3C2E83"/>
    <w:rsid w:val="6D486EEA"/>
    <w:rsid w:val="6D624191"/>
    <w:rsid w:val="6DA71E62"/>
    <w:rsid w:val="6DA74A49"/>
    <w:rsid w:val="6E4C5FF9"/>
    <w:rsid w:val="6EC51416"/>
    <w:rsid w:val="6F5E746F"/>
    <w:rsid w:val="6F6B5112"/>
    <w:rsid w:val="6FB24804"/>
    <w:rsid w:val="7055201D"/>
    <w:rsid w:val="70ED22B7"/>
    <w:rsid w:val="70F51137"/>
    <w:rsid w:val="70F8171B"/>
    <w:rsid w:val="70FD7FEB"/>
    <w:rsid w:val="71104EBB"/>
    <w:rsid w:val="7130353D"/>
    <w:rsid w:val="71905022"/>
    <w:rsid w:val="71A44561"/>
    <w:rsid w:val="71E2371D"/>
    <w:rsid w:val="723B6608"/>
    <w:rsid w:val="72A434DA"/>
    <w:rsid w:val="73376BFD"/>
    <w:rsid w:val="73950940"/>
    <w:rsid w:val="7400407A"/>
    <w:rsid w:val="74477EFB"/>
    <w:rsid w:val="746B2CF0"/>
    <w:rsid w:val="748C1DB2"/>
    <w:rsid w:val="74FC1468"/>
    <w:rsid w:val="7548217D"/>
    <w:rsid w:val="75A73C5B"/>
    <w:rsid w:val="76415043"/>
    <w:rsid w:val="768A40CF"/>
    <w:rsid w:val="76EA1012"/>
    <w:rsid w:val="76EA7241"/>
    <w:rsid w:val="772B155D"/>
    <w:rsid w:val="77434B3E"/>
    <w:rsid w:val="7750785E"/>
    <w:rsid w:val="77701517"/>
    <w:rsid w:val="77B468C6"/>
    <w:rsid w:val="77BA3285"/>
    <w:rsid w:val="77EF770F"/>
    <w:rsid w:val="782C1E78"/>
    <w:rsid w:val="78E201F2"/>
    <w:rsid w:val="798A3CFE"/>
    <w:rsid w:val="7A7B2C03"/>
    <w:rsid w:val="7AD23B99"/>
    <w:rsid w:val="7BF070CA"/>
    <w:rsid w:val="7C1A134B"/>
    <w:rsid w:val="7C8E66B5"/>
    <w:rsid w:val="7CDE72A4"/>
    <w:rsid w:val="7D3C31C8"/>
    <w:rsid w:val="7D7B7E85"/>
    <w:rsid w:val="7DC223A1"/>
    <w:rsid w:val="7E5B5C23"/>
    <w:rsid w:val="7E916B3D"/>
    <w:rsid w:val="7F211349"/>
    <w:rsid w:val="7F2E31B5"/>
    <w:rsid w:val="7F381AB5"/>
    <w:rsid w:val="7F474F7C"/>
    <w:rsid w:val="7F9C33C8"/>
    <w:rsid w:val="7FB623D9"/>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semiHidden="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6">
    <w:name w:val="heading 4"/>
    <w:basedOn w:val="1"/>
    <w:next w:val="1"/>
    <w:qFormat/>
    <w:uiPriority w:val="0"/>
    <w:pPr>
      <w:keepNext/>
      <w:keepLines/>
      <w:numPr>
        <w:ilvl w:val="3"/>
        <w:numId w:val="2"/>
      </w:numPr>
      <w:spacing w:before="280" w:after="290" w:line="376" w:lineRule="auto"/>
      <w:ind w:firstLine="402"/>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2"/>
      </w:numPr>
      <w:spacing w:before="280" w:after="290" w:line="376" w:lineRule="auto"/>
      <w:ind w:firstLine="402"/>
      <w:outlineLvl w:val="4"/>
    </w:pPr>
    <w:rPr>
      <w:b/>
      <w:bCs/>
      <w:sz w:val="28"/>
      <w:szCs w:val="28"/>
    </w:rPr>
  </w:style>
  <w:style w:type="paragraph" w:styleId="8">
    <w:name w:val="heading 6"/>
    <w:basedOn w:val="1"/>
    <w:next w:val="1"/>
    <w:qFormat/>
    <w:uiPriority w:val="0"/>
    <w:pPr>
      <w:keepNext/>
      <w:keepLines/>
      <w:numPr>
        <w:ilvl w:val="5"/>
        <w:numId w:val="2"/>
      </w:numPr>
      <w:spacing w:before="240" w:after="64" w:line="320" w:lineRule="auto"/>
      <w:ind w:firstLine="402"/>
      <w:outlineLvl w:val="5"/>
    </w:pPr>
    <w:rPr>
      <w:rFonts w:ascii="Arial" w:hAnsi="Arial" w:eastAsia="黑体"/>
      <w:b/>
      <w:bCs/>
      <w:sz w:val="24"/>
    </w:rPr>
  </w:style>
  <w:style w:type="paragraph" w:styleId="9">
    <w:name w:val="heading 7"/>
    <w:basedOn w:val="1"/>
    <w:next w:val="1"/>
    <w:qFormat/>
    <w:uiPriority w:val="0"/>
    <w:pPr>
      <w:keepNext/>
      <w:keepLines/>
      <w:numPr>
        <w:ilvl w:val="6"/>
        <w:numId w:val="2"/>
      </w:numPr>
      <w:spacing w:before="240" w:after="64" w:line="320" w:lineRule="auto"/>
      <w:ind w:firstLine="402"/>
      <w:outlineLvl w:val="6"/>
    </w:pPr>
    <w:rPr>
      <w:b/>
      <w:bCs/>
      <w:sz w:val="24"/>
    </w:rPr>
  </w:style>
  <w:style w:type="paragraph" w:styleId="10">
    <w:name w:val="heading 8"/>
    <w:basedOn w:val="1"/>
    <w:next w:val="1"/>
    <w:qFormat/>
    <w:uiPriority w:val="0"/>
    <w:pPr>
      <w:keepNext/>
      <w:keepLines/>
      <w:numPr>
        <w:ilvl w:val="7"/>
        <w:numId w:val="2"/>
      </w:numPr>
      <w:spacing w:before="240" w:after="64" w:line="320" w:lineRule="auto"/>
      <w:ind w:firstLine="402"/>
      <w:outlineLvl w:val="7"/>
    </w:pPr>
    <w:rPr>
      <w:rFonts w:ascii="Arial" w:hAnsi="Arial" w:eastAsia="黑体"/>
      <w:sz w:val="24"/>
    </w:rPr>
  </w:style>
  <w:style w:type="paragraph" w:styleId="11">
    <w:name w:val="heading 9"/>
    <w:basedOn w:val="1"/>
    <w:next w:val="1"/>
    <w:qFormat/>
    <w:uiPriority w:val="0"/>
    <w:pPr>
      <w:keepNext/>
      <w:keepLines/>
      <w:numPr>
        <w:ilvl w:val="8"/>
        <w:numId w:val="2"/>
      </w:numPr>
      <w:spacing w:before="240" w:after="64" w:line="320" w:lineRule="auto"/>
      <w:ind w:firstLine="402"/>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semiHidden/>
    <w:qFormat/>
    <w:uiPriority w:val="0"/>
    <w:pPr>
      <w:ind w:left="100" w:leftChars="100"/>
    </w:pPr>
  </w:style>
  <w:style w:type="paragraph" w:styleId="18">
    <w:name w:val="toc 2"/>
    <w:basedOn w:val="19"/>
    <w:next w:val="1"/>
    <w:qFormat/>
    <w:uiPriority w:val="39"/>
  </w:style>
  <w:style w:type="paragraph" w:styleId="19">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3"/>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4"/>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5"/>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6"/>
      </w:numPr>
      <w:contextualSpacing/>
    </w:pPr>
  </w:style>
  <w:style w:type="paragraph" w:styleId="31">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7"/>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8"/>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9"/>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10"/>
      </w:numPr>
      <w:contextualSpacing/>
    </w:pPr>
  </w:style>
  <w:style w:type="paragraph" w:styleId="51">
    <w:name w:val="List Number 4"/>
    <w:basedOn w:val="1"/>
    <w:semiHidden/>
    <w:unhideWhenUsed/>
    <w:qFormat/>
    <w:uiPriority w:val="99"/>
    <w:pPr>
      <w:numPr>
        <w:ilvl w:val="0"/>
        <w:numId w:val="11"/>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2"/>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qFormat/>
    <w:uiPriority w:val="0"/>
    <w:rPr>
      <w:rFonts w:hint="eastAsia" w:ascii="宋体" w:hAnsi="宋体" w:eastAsia="宋体" w:cs="宋体"/>
    </w:rPr>
  </w:style>
  <w:style w:type="paragraph" w:styleId="75">
    <w:name w:val="toc 9"/>
    <w:basedOn w:val="52"/>
    <w:next w:val="1"/>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28"/>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basedOn w:val="259"/>
    <w:next w:val="258"/>
    <w:qFormat/>
    <w:uiPriority w:val="0"/>
    <w:pPr>
      <w:numPr>
        <w:ilvl w:val="1"/>
        <w:numId w:val="1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4"/>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2"/>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4"/>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3"/>
    </w:pPr>
  </w:style>
  <w:style w:type="paragraph" w:customStyle="1" w:styleId="278">
    <w:name w:val="附录二级条标题"/>
    <w:basedOn w:val="1"/>
    <w:next w:val="258"/>
    <w:qFormat/>
    <w:uiPriority w:val="0"/>
    <w:pPr>
      <w:widowControl/>
      <w:numPr>
        <w:ilvl w:val="3"/>
        <w:numId w:val="14"/>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3"/>
    </w:pPr>
  </w:style>
  <w:style w:type="paragraph" w:customStyle="1" w:styleId="280">
    <w:name w:val="附录四级条标题"/>
    <w:basedOn w:val="279"/>
    <w:next w:val="258"/>
    <w:qFormat/>
    <w:uiPriority w:val="0"/>
    <w:pPr>
      <w:numPr>
        <w:ilvl w:val="5"/>
      </w:numPr>
      <w:outlineLvl w:val="3"/>
    </w:pPr>
  </w:style>
  <w:style w:type="paragraph" w:customStyle="1" w:styleId="281">
    <w:name w:val="附录图标题"/>
    <w:basedOn w:val="1"/>
    <w:next w:val="1"/>
    <w:qFormat/>
    <w:uiPriority w:val="0"/>
    <w:pPr>
      <w:numPr>
        <w:ilvl w:val="1"/>
        <w:numId w:val="15"/>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8"/>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9"/>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20"/>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1"/>
      </w:numPr>
      <w:tabs>
        <w:tab w:val="clear" w:pos="360"/>
      </w:tabs>
    </w:pPr>
  </w:style>
  <w:style w:type="paragraph" w:customStyle="1" w:styleId="303">
    <w:name w:val="注："/>
    <w:next w:val="1"/>
    <w:qFormat/>
    <w:uiPriority w:val="0"/>
    <w:pPr>
      <w:widowControl w:val="0"/>
      <w:numPr>
        <w:ilvl w:val="0"/>
        <w:numId w:val="22"/>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3"/>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8"/>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4"/>
      </w:numPr>
    </w:pPr>
    <w:rPr>
      <w:rFonts w:ascii="宋体"/>
      <w:kern w:val="0"/>
      <w:sz w:val="18"/>
      <w:szCs w:val="18"/>
    </w:rPr>
  </w:style>
  <w:style w:type="paragraph" w:customStyle="1" w:styleId="307">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5"/>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Id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qFormat/>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hint="eastAsia" w:ascii="黑体" w:hAnsi="黑体" w:eastAsia="黑体" w:cs="黑体"/>
      <w:bCs/>
      <w:w w:val="100"/>
      <w:sz w:val="48"/>
      <w:lang w:val="en-US" w:eastAsia="zh-CN" w:bidi="ar-SA"/>
    </w:rPr>
  </w:style>
  <w:style w:type="character" w:customStyle="1" w:styleId="339">
    <w:name w:val="标准称谓QB Char"/>
    <w:basedOn w:val="231"/>
    <w:link w:val="338"/>
    <w:qFormat/>
    <w:uiPriority w:val="0"/>
    <w:rPr>
      <w:rFonts w:hint="eastAsia" w:ascii="黑体" w:hAnsi="黑体" w:eastAsia="黑体" w:cs="黑体"/>
      <w:bCs/>
      <w:w w:val="100"/>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jc w:val="center"/>
    </w:pPr>
    <w:rPr>
      <w:rFonts w:hint="eastAsia" w:ascii="黑体" w:hAnsi="黑体" w:eastAsia="黑体" w:cs="黑体"/>
      <w:spacing w:val="20"/>
      <w:w w:val="135"/>
      <w:sz w:val="28"/>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2"/>
      </w:numPr>
      <w:snapToGrid w:val="0"/>
      <w:spacing w:line="14" w:lineRule="exact"/>
      <w:jc w:val="center"/>
    </w:pPr>
    <w:rPr>
      <w:color w:val="FFFFFF"/>
    </w:rPr>
  </w:style>
  <w:style w:type="paragraph" w:customStyle="1" w:styleId="348">
    <w:name w:val="附录图标号"/>
    <w:basedOn w:val="1"/>
    <w:next w:val="258"/>
    <w:qFormat/>
    <w:uiPriority w:val="0"/>
    <w:pPr>
      <w:numPr>
        <w:ilvl w:val="0"/>
        <w:numId w:val="15"/>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qFormat/>
    <w:uiPriority w:val="99"/>
    <w:rPr>
      <w:kern w:val="2"/>
      <w:sz w:val="21"/>
      <w:szCs w:val="24"/>
    </w:rPr>
  </w:style>
  <w:style w:type="character" w:customStyle="1" w:styleId="355">
    <w:name w:val="纯文本 Char"/>
    <w:basedOn w:val="231"/>
    <w:link w:val="49"/>
    <w:semiHidden/>
    <w:qFormat/>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qFormat/>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semiHidden/>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qFormat/>
    <w:uiPriority w:val="37"/>
  </w:style>
  <w:style w:type="table" w:customStyle="1" w:styleId="421">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Times New Roman" w:hAnsi="Times New Roman" w:eastAsia="Arial Unicode MS" w:cs="Times New Roman"/>
      <w:b/>
      <w:w w:val="13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7"/>
      </w:numPr>
    </w:pPr>
  </w:style>
  <w:style w:type="paragraph" w:customStyle="1" w:styleId="511">
    <w:name w:val="引言二级条标题"/>
    <w:basedOn w:val="1"/>
    <w:next w:val="258"/>
    <w:qFormat/>
    <w:uiPriority w:val="0"/>
    <w:pPr>
      <w:widowControl/>
      <w:numPr>
        <w:ilvl w:val="2"/>
        <w:numId w:val="28"/>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8"/>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8"/>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8"/>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8"/>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9"/>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30"/>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1"/>
      </w:numPr>
      <w:adjustRightInd w:val="0"/>
      <w:jc w:val="left"/>
    </w:pPr>
    <w:rPr>
      <w:rFonts w:hAnsi="宋体"/>
      <w:szCs w:val="21"/>
    </w:rPr>
  </w:style>
  <w:style w:type="character" w:customStyle="1" w:styleId="528">
    <w:name w:val="段 Char"/>
    <w:link w:val="258"/>
    <w:qFormat/>
    <w:uiPriority w:val="0"/>
    <w:rPr>
      <w:rFonts w:ascii="宋体" w:hAnsi="Times New Roman" w:eastAsia="宋体" w:cs="Times New Roman"/>
      <w:sz w:val="21"/>
      <w:lang w:val="en-US" w:eastAsia="zh-CN" w:bidi="ar-SA"/>
    </w:rPr>
  </w:style>
  <w:style w:type="character" w:customStyle="1" w:styleId="529">
    <w:name w:val="font31"/>
    <w:basedOn w:val="231"/>
    <w:qFormat/>
    <w:uiPriority w:val="0"/>
    <w:rPr>
      <w:rFonts w:ascii="宋体" w:hAnsi="宋体" w:eastAsia="宋体" w:cs="宋体"/>
      <w:color w:val="000000"/>
      <w:sz w:val="34"/>
      <w:szCs w:val="34"/>
      <w:u w:val="none"/>
    </w:rPr>
  </w:style>
  <w:style w:type="paragraph" w:customStyle="1" w:styleId="530">
    <w:name w:val="Table Text"/>
    <w:basedOn w:val="1"/>
    <w:semiHidden/>
    <w:qFormat/>
    <w:uiPriority w:val="0"/>
    <w:rPr>
      <w:rFonts w:ascii="宋体" w:hAnsi="宋体" w:eastAsia="宋体" w:cs="宋体"/>
      <w:sz w:val="18"/>
      <w:szCs w:val="18"/>
      <w:lang w:val="en-US" w:eastAsia="en-US" w:bidi="ar-SA"/>
    </w:rPr>
  </w:style>
  <w:style w:type="table" w:customStyle="1" w:styleId="531">
    <w:name w:val="Table Normal"/>
    <w:semiHidden/>
    <w:unhideWhenUsed/>
    <w:qFormat/>
    <w:uiPriority w:val="0"/>
    <w:tblPr>
      <w:tblCellMar>
        <w:top w:w="0" w:type="dxa"/>
        <w:left w:w="0" w:type="dxa"/>
        <w:bottom w:w="0" w:type="dxa"/>
        <w:right w:w="0" w:type="dxa"/>
      </w:tblCellMar>
    </w:tblPr>
  </w:style>
  <w:style w:type="character" w:customStyle="1" w:styleId="532">
    <w:name w:val="font11"/>
    <w:basedOn w:val="2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glossaryDocument" Target="glossary/document.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1.wmf"/><Relationship Id="rId34" Type="http://schemas.openxmlformats.org/officeDocument/2006/relationships/oleObject" Target="embeddings/oleObject9.bin"/><Relationship Id="rId33" Type="http://schemas.openxmlformats.org/officeDocument/2006/relationships/image" Target="media/image10.wmf"/><Relationship Id="rId32" Type="http://schemas.openxmlformats.org/officeDocument/2006/relationships/oleObject" Target="embeddings/oleObject8.bin"/><Relationship Id="rId31" Type="http://schemas.openxmlformats.org/officeDocument/2006/relationships/image" Target="media/image9.wmf"/><Relationship Id="rId30" Type="http://schemas.openxmlformats.org/officeDocument/2006/relationships/image" Target="media/image8.wmf"/><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7.wmf"/><Relationship Id="rId27" Type="http://schemas.openxmlformats.org/officeDocument/2006/relationships/oleObject" Target="embeddings/oleObject6.bin"/><Relationship Id="rId26" Type="http://schemas.openxmlformats.org/officeDocument/2006/relationships/image" Target="media/image6.wmf"/><Relationship Id="rId25" Type="http://schemas.openxmlformats.org/officeDocument/2006/relationships/image" Target="media/image5.wmf"/><Relationship Id="rId24" Type="http://schemas.openxmlformats.org/officeDocument/2006/relationships/oleObject" Target="embeddings/oleObject5.bin"/><Relationship Id="rId23" Type="http://schemas.openxmlformats.org/officeDocument/2006/relationships/image" Target="media/image4.wmf"/><Relationship Id="rId22" Type="http://schemas.openxmlformats.org/officeDocument/2006/relationships/oleObject" Target="embeddings/oleObject4.bin"/><Relationship Id="rId21" Type="http://schemas.openxmlformats.org/officeDocument/2006/relationships/image" Target="media/image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508\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14:paraId="4048F537">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43</Pages>
  <Words>2070</Words>
  <Characters>2372</Characters>
  <Lines>1</Lines>
  <Paragraphs>1</Paragraphs>
  <TotalTime>89</TotalTime>
  <ScaleCrop>false</ScaleCrop>
  <LinksUpToDate>false</LinksUpToDate>
  <CharactersWithSpaces>2704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2024-07-28T13:34:00Z</dcterms:created>
  <dc:creator>余佳荣</dc:creator>
  <cp:lastModifiedBy>Lenovo</cp:lastModifiedBy>
  <cp:lastPrinted>2024-11-20T06:00:00Z</cp:lastPrinted>
  <dcterms:modified xsi:type="dcterms:W3CDTF">2025-01-20T01:55:08Z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5315631B04654283A85E11ABF37A0A47_13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29.020</vt:lpwstr>
  </property>
  <property fmtid="{D5CDD505-2E9C-101B-9397-08002B2CF9AE}" pid="7" name="CCS" linkTarget="CCS">
    <vt:lpwstr>CCS P16</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T/CQFPA 001-2024</vt:lpwstr>
  </property>
  <property fmtid="{D5CDD505-2E9C-101B-9397-08002B2CF9AE}" pid="11" name="TDBH" linkTarget="TDBH">
    <vt:lpwstr>代替 Q/XXX</vt:lpwstr>
  </property>
  <property fmtid="{D5CDD505-2E9C-101B-9397-08002B2CF9AE}" pid="12" name="BZMC" linkTarget="BZMC">
    <vt:lpwstr>建筑电气防火检测技术规程</vt:lpwstr>
  </property>
  <property fmtid="{D5CDD505-2E9C-101B-9397-08002B2CF9AE}" pid="13" name="YWMC" linkTarget="YWMC">
    <vt:lpwstr>Technical regulations for building electrical fire detection</vt:lpwstr>
  </property>
  <property fmtid="{D5CDD505-2E9C-101B-9397-08002B2CF9AE}" pid="14" name="CBCD" linkTarget="CBCD">
    <vt:lpwstr>（与国际标准一致性程度的标识）</vt:lpwstr>
  </property>
  <property fmtid="{D5CDD505-2E9C-101B-9397-08002B2CF9AE}" pid="15" name="WGLB" linkTarget="WGLB">
    <vt:lpwstr>（送审稿）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CQXF</vt:lpwstr>
  </property>
  <property fmtid="{D5CDD505-2E9C-101B-9397-08002B2CF9AE}" pid="19" name="标准类型" linkTarget="标准类型">
    <vt:lpwstr>TB</vt:lpwstr>
  </property>
  <property fmtid="{D5CDD505-2E9C-101B-9397-08002B2CF9AE}" pid="20" name="FBDW" linkTarget="FBDW">
    <vt:lpwstr>重庆消防协会###ENTER###四川省消防协会</vt:lpwstr>
  </property>
  <property fmtid="{D5CDD505-2E9C-101B-9397-08002B2CF9AE}" pid="21" name="IMAGE" linkTarget="IMAGE">
    <vt:lpwstr/>
  </property>
  <property fmtid="{D5CDD505-2E9C-101B-9397-08002B2CF9AE}" pid="22" name="KSOProductBuildVer">
    <vt:lpwstr>2052-12.1.0.19770</vt:lpwstr>
  </property>
  <property fmtid="{D5CDD505-2E9C-101B-9397-08002B2CF9AE}" pid="23" name="KSOTemplateDocerSaveRecord">
    <vt:lpwstr>eyJoZGlkIjoiMzZiNzdkZmU0ODBkZGMxODc2MDk4MWUwNmQ5ZGFkYmQifQ==</vt:lpwstr>
  </property>
</Properties>
</file>